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7DB40" w14:textId="77777777" w:rsidR="00511120" w:rsidRDefault="00511120">
      <w:pPr>
        <w:jc w:val="both"/>
        <w:rPr>
          <w:rFonts w:ascii="Times New Roman" w:eastAsia="宋体" w:hAnsi="Times New Roman" w:cs="Times New Roman"/>
          <w:sz w:val="24"/>
          <w:szCs w:val="24"/>
          <w:lang w:eastAsia="zh-CN"/>
        </w:rPr>
      </w:pPr>
    </w:p>
    <w:p w14:paraId="3C4311C6" w14:textId="77777777" w:rsidR="00511120" w:rsidRDefault="00511120">
      <w:pPr>
        <w:jc w:val="center"/>
        <w:rPr>
          <w:rFonts w:ascii="Times New Roman" w:eastAsia="宋体" w:hAnsi="Times New Roman" w:cs="Times New Roman"/>
          <w:sz w:val="24"/>
          <w:szCs w:val="24"/>
          <w:lang w:eastAsia="zh-CN"/>
        </w:rPr>
      </w:pPr>
    </w:p>
    <w:p w14:paraId="740DA581" w14:textId="77777777" w:rsidR="00511120" w:rsidRDefault="00511120">
      <w:pPr>
        <w:jc w:val="center"/>
        <w:rPr>
          <w:rFonts w:ascii="Times New Roman" w:eastAsia="宋体" w:hAnsi="Times New Roman" w:cs="Times New Roman"/>
          <w:sz w:val="24"/>
          <w:szCs w:val="24"/>
          <w:lang w:eastAsia="zh-CN"/>
        </w:rPr>
      </w:pPr>
    </w:p>
    <w:p w14:paraId="4A933821" w14:textId="77777777" w:rsidR="00511120" w:rsidRDefault="00000000">
      <w:pPr>
        <w:widowControl w:val="0"/>
        <w:tabs>
          <w:tab w:val="left" w:pos="909"/>
        </w:tabs>
        <w:spacing w:afterLines="100" w:after="312"/>
        <w:jc w:val="center"/>
        <w:textAlignment w:val="auto"/>
        <w:rPr>
          <w:rFonts w:ascii="宋体" w:eastAsia="宋体" w:hAnsi="宋体" w:cs="宋体"/>
          <w:color w:val="auto"/>
          <w:kern w:val="2"/>
          <w:sz w:val="56"/>
          <w:szCs w:val="56"/>
          <w:lang w:eastAsia="zh-CN"/>
        </w:rPr>
      </w:pPr>
      <w:r>
        <w:rPr>
          <w:rFonts w:ascii="方正小标宋简体" w:eastAsia="方正小标宋简体" w:hAnsi="方正小标宋简体" w:cs="方正小标宋简体" w:hint="eastAsia"/>
          <w:b/>
          <w:bCs/>
          <w:color w:val="auto"/>
          <w:kern w:val="2"/>
          <w:sz w:val="72"/>
          <w:szCs w:val="72"/>
          <w:lang w:eastAsia="zh-CN"/>
        </w:rPr>
        <w:t>中国植物学会</w:t>
      </w:r>
    </w:p>
    <w:p w14:paraId="0CDD23FB" w14:textId="77777777" w:rsidR="00511120" w:rsidRDefault="00511120">
      <w:pPr>
        <w:widowControl w:val="0"/>
        <w:jc w:val="center"/>
        <w:textAlignment w:val="auto"/>
        <w:rPr>
          <w:rFonts w:ascii="Times New Roman" w:eastAsia="宋体" w:hAnsi="Times New Roman" w:cs="Times New Roman"/>
          <w:sz w:val="24"/>
          <w:szCs w:val="24"/>
          <w:lang w:eastAsia="zh-CN"/>
        </w:rPr>
      </w:pPr>
    </w:p>
    <w:p w14:paraId="1ABA0D6E" w14:textId="77777777" w:rsidR="00511120" w:rsidRDefault="00511120">
      <w:pPr>
        <w:widowControl w:val="0"/>
        <w:jc w:val="center"/>
        <w:textAlignment w:val="auto"/>
        <w:rPr>
          <w:rFonts w:ascii="Times New Roman" w:eastAsia="宋体" w:hAnsi="Times New Roman" w:cs="Times New Roman"/>
          <w:sz w:val="24"/>
          <w:szCs w:val="24"/>
          <w:lang w:eastAsia="zh-CN"/>
        </w:rPr>
      </w:pPr>
    </w:p>
    <w:p w14:paraId="6EA2061B" w14:textId="77777777" w:rsidR="00511120" w:rsidRDefault="00511120">
      <w:pPr>
        <w:widowControl w:val="0"/>
        <w:jc w:val="center"/>
        <w:textAlignment w:val="auto"/>
        <w:rPr>
          <w:rFonts w:ascii="Times New Roman" w:eastAsia="宋体" w:hAnsi="Times New Roman" w:cs="Times New Roman"/>
          <w:sz w:val="24"/>
          <w:szCs w:val="24"/>
          <w:lang w:eastAsia="zh-CN"/>
        </w:rPr>
      </w:pPr>
    </w:p>
    <w:p w14:paraId="58D12F25" w14:textId="77777777" w:rsidR="00511120" w:rsidRDefault="00511120">
      <w:pPr>
        <w:widowControl w:val="0"/>
        <w:jc w:val="center"/>
        <w:textAlignment w:val="auto"/>
        <w:rPr>
          <w:rFonts w:ascii="Times New Roman" w:eastAsia="宋体" w:hAnsi="Times New Roman" w:cs="Times New Roman"/>
          <w:sz w:val="24"/>
          <w:szCs w:val="24"/>
          <w:lang w:eastAsia="zh-CN"/>
        </w:rPr>
      </w:pPr>
    </w:p>
    <w:p w14:paraId="6C0A89A9" w14:textId="77777777" w:rsidR="00511120" w:rsidRDefault="00511120">
      <w:pPr>
        <w:widowControl w:val="0"/>
        <w:jc w:val="center"/>
        <w:textAlignment w:val="auto"/>
        <w:rPr>
          <w:rFonts w:ascii="宋体" w:eastAsia="宋体" w:hAnsi="宋体" w:cs="宋体"/>
          <w:b/>
          <w:bCs/>
          <w:color w:val="auto"/>
          <w:kern w:val="2"/>
          <w:sz w:val="44"/>
          <w:szCs w:val="44"/>
          <w:lang w:eastAsia="zh-CN"/>
        </w:rPr>
      </w:pPr>
    </w:p>
    <w:p w14:paraId="6B5015D2" w14:textId="77777777" w:rsidR="00511120" w:rsidRDefault="00511120">
      <w:pPr>
        <w:jc w:val="center"/>
        <w:rPr>
          <w:rFonts w:ascii="Times New Roman" w:eastAsia="宋体" w:hAnsi="Times New Roman" w:cs="Times New Roman"/>
          <w:b/>
          <w:bCs/>
          <w:color w:val="auto"/>
          <w:kern w:val="2"/>
          <w:sz w:val="48"/>
          <w:szCs w:val="48"/>
          <w:lang w:eastAsia="zh-CN"/>
        </w:rPr>
      </w:pPr>
    </w:p>
    <w:p w14:paraId="7A621C30" w14:textId="77777777" w:rsidR="00511120" w:rsidRDefault="00511120">
      <w:pPr>
        <w:jc w:val="center"/>
        <w:rPr>
          <w:rFonts w:ascii="Times New Roman" w:eastAsia="宋体" w:hAnsi="Times New Roman" w:cs="Times New Roman"/>
          <w:b/>
          <w:bCs/>
          <w:color w:val="auto"/>
          <w:kern w:val="2"/>
          <w:sz w:val="48"/>
          <w:szCs w:val="48"/>
          <w:lang w:eastAsia="zh-CN"/>
        </w:rPr>
      </w:pPr>
    </w:p>
    <w:p w14:paraId="20E043DE" w14:textId="77777777" w:rsidR="00511120" w:rsidRDefault="00511120">
      <w:pPr>
        <w:pStyle w:val="BodyText"/>
        <w:rPr>
          <w:lang w:eastAsia="zh-CN"/>
        </w:rPr>
      </w:pPr>
    </w:p>
    <w:p w14:paraId="56985AD0" w14:textId="77777777" w:rsidR="00511120" w:rsidRDefault="00511120">
      <w:pPr>
        <w:jc w:val="center"/>
        <w:rPr>
          <w:rFonts w:ascii="Times New Roman" w:eastAsia="宋体" w:hAnsi="Times New Roman" w:cs="Times New Roman"/>
          <w:b/>
          <w:bCs/>
          <w:color w:val="auto"/>
          <w:kern w:val="2"/>
          <w:sz w:val="48"/>
          <w:szCs w:val="48"/>
          <w:lang w:eastAsia="zh-CN"/>
        </w:rPr>
      </w:pPr>
    </w:p>
    <w:p w14:paraId="2DE0BC20" w14:textId="77777777" w:rsidR="00511120" w:rsidRDefault="00000000">
      <w:pPr>
        <w:jc w:val="center"/>
        <w:rPr>
          <w:rFonts w:ascii="Times New Roman" w:eastAsia="宋体" w:hAnsi="Times New Roman" w:cs="Times New Roman"/>
          <w:b/>
          <w:bCs/>
          <w:color w:val="auto"/>
          <w:kern w:val="2"/>
          <w:sz w:val="48"/>
          <w:szCs w:val="48"/>
          <w:lang w:eastAsia="zh-CN"/>
        </w:rPr>
      </w:pPr>
      <w:r>
        <w:rPr>
          <w:rFonts w:ascii="Times New Roman" w:eastAsia="宋体" w:hAnsi="Times New Roman" w:cs="Times New Roman" w:hint="eastAsia"/>
          <w:b/>
          <w:bCs/>
          <w:color w:val="auto"/>
          <w:kern w:val="2"/>
          <w:sz w:val="48"/>
          <w:szCs w:val="48"/>
          <w:lang w:eastAsia="zh-CN"/>
        </w:rPr>
        <w:t>《苏打盐碱地大豆小垄双行浅埋滴灌种植技术》</w:t>
      </w:r>
    </w:p>
    <w:p w14:paraId="219DD3F2" w14:textId="77777777" w:rsidR="00511120" w:rsidRDefault="00511120">
      <w:pPr>
        <w:jc w:val="center"/>
        <w:rPr>
          <w:rFonts w:ascii="Times New Roman" w:eastAsia="宋体" w:hAnsi="Times New Roman" w:cs="Times New Roman"/>
          <w:b/>
          <w:bCs/>
          <w:color w:val="auto"/>
          <w:sz w:val="24"/>
          <w:szCs w:val="24"/>
          <w:lang w:eastAsia="zh-CN"/>
        </w:rPr>
      </w:pPr>
    </w:p>
    <w:p w14:paraId="3ED8A6DB" w14:textId="77777777" w:rsidR="00511120" w:rsidRDefault="00000000">
      <w:pPr>
        <w:pStyle w:val="BodyText"/>
        <w:jc w:val="center"/>
        <w:rPr>
          <w:rFonts w:ascii="Times New Roman" w:eastAsia="宋体" w:hAnsi="Times New Roman" w:cs="Times New Roman"/>
          <w:b/>
          <w:bCs/>
          <w:color w:val="auto"/>
          <w:kern w:val="2"/>
          <w:sz w:val="48"/>
          <w:szCs w:val="48"/>
          <w:lang w:eastAsia="zh-CN"/>
        </w:rPr>
      </w:pPr>
      <w:r>
        <w:rPr>
          <w:rFonts w:ascii="Times New Roman" w:eastAsia="宋体" w:hAnsi="Times New Roman" w:cs="Times New Roman" w:hint="eastAsia"/>
          <w:b/>
          <w:bCs/>
          <w:color w:val="auto"/>
          <w:kern w:val="2"/>
          <w:sz w:val="48"/>
          <w:szCs w:val="48"/>
          <w:lang w:eastAsia="zh-CN"/>
        </w:rPr>
        <w:t>团体标准编制说明</w:t>
      </w:r>
    </w:p>
    <w:p w14:paraId="18860564" w14:textId="77777777" w:rsidR="00511120" w:rsidRDefault="00511120">
      <w:pPr>
        <w:jc w:val="center"/>
        <w:rPr>
          <w:rFonts w:ascii="Times New Roman" w:eastAsia="宋体" w:hAnsi="Times New Roman" w:cs="Times New Roman"/>
          <w:color w:val="auto"/>
          <w:sz w:val="24"/>
          <w:szCs w:val="24"/>
          <w:lang w:eastAsia="zh-CN"/>
        </w:rPr>
      </w:pPr>
    </w:p>
    <w:p w14:paraId="68897B08" w14:textId="77777777" w:rsidR="00511120" w:rsidRDefault="00511120">
      <w:pPr>
        <w:jc w:val="center"/>
        <w:rPr>
          <w:rFonts w:ascii="Times New Roman" w:eastAsia="宋体" w:hAnsi="Times New Roman" w:cs="Times New Roman"/>
          <w:color w:val="auto"/>
          <w:sz w:val="24"/>
          <w:szCs w:val="24"/>
          <w:lang w:eastAsia="zh-CN"/>
        </w:rPr>
      </w:pPr>
    </w:p>
    <w:p w14:paraId="7D41DA76" w14:textId="77777777" w:rsidR="00511120" w:rsidRDefault="00511120">
      <w:pPr>
        <w:pStyle w:val="BodyText"/>
        <w:rPr>
          <w:rFonts w:ascii="Times New Roman" w:eastAsia="宋体" w:hAnsi="Times New Roman" w:cs="Times New Roman"/>
          <w:color w:val="auto"/>
          <w:sz w:val="24"/>
          <w:szCs w:val="24"/>
          <w:lang w:eastAsia="zh-CN"/>
        </w:rPr>
      </w:pPr>
    </w:p>
    <w:p w14:paraId="6266EB08" w14:textId="77777777" w:rsidR="00511120" w:rsidRDefault="00511120">
      <w:pPr>
        <w:pStyle w:val="BodyText"/>
        <w:rPr>
          <w:rFonts w:ascii="Times New Roman" w:eastAsia="宋体" w:hAnsi="Times New Roman" w:cs="Times New Roman"/>
          <w:color w:val="auto"/>
          <w:sz w:val="24"/>
          <w:szCs w:val="24"/>
          <w:lang w:eastAsia="zh-CN"/>
        </w:rPr>
      </w:pPr>
    </w:p>
    <w:p w14:paraId="21539003" w14:textId="77777777" w:rsidR="00511120" w:rsidRDefault="00511120">
      <w:pPr>
        <w:pStyle w:val="BodyText"/>
        <w:rPr>
          <w:rFonts w:ascii="Times New Roman" w:eastAsia="宋体" w:hAnsi="Times New Roman" w:cs="Times New Roman"/>
          <w:color w:val="auto"/>
          <w:sz w:val="24"/>
          <w:szCs w:val="24"/>
          <w:lang w:eastAsia="zh-CN"/>
        </w:rPr>
      </w:pPr>
    </w:p>
    <w:p w14:paraId="1DC89178" w14:textId="77777777" w:rsidR="00511120" w:rsidRDefault="00511120">
      <w:pPr>
        <w:pStyle w:val="BodyText"/>
        <w:rPr>
          <w:rFonts w:ascii="Times New Roman" w:eastAsia="宋体" w:hAnsi="Times New Roman" w:cs="Times New Roman"/>
          <w:color w:val="auto"/>
          <w:sz w:val="24"/>
          <w:szCs w:val="24"/>
          <w:lang w:eastAsia="zh-CN"/>
        </w:rPr>
      </w:pPr>
    </w:p>
    <w:p w14:paraId="32815BEC" w14:textId="77777777" w:rsidR="00511120" w:rsidRDefault="00511120">
      <w:pPr>
        <w:pStyle w:val="BodyText"/>
        <w:rPr>
          <w:rFonts w:ascii="Times New Roman" w:eastAsia="宋体" w:hAnsi="Times New Roman" w:cs="Times New Roman"/>
          <w:color w:val="auto"/>
          <w:sz w:val="24"/>
          <w:szCs w:val="24"/>
          <w:lang w:eastAsia="zh-CN"/>
        </w:rPr>
      </w:pPr>
    </w:p>
    <w:p w14:paraId="27B03079" w14:textId="77777777" w:rsidR="00511120" w:rsidRDefault="00000000">
      <w:pPr>
        <w:pStyle w:val="BodyText"/>
        <w:jc w:val="center"/>
        <w:rPr>
          <w:rFonts w:asciiTheme="majorEastAsia" w:eastAsiaTheme="majorEastAsia" w:hAnsiTheme="majorEastAsia" w:cstheme="majorEastAsia"/>
          <w:b/>
          <w:bCs/>
          <w:color w:val="auto"/>
          <w:sz w:val="36"/>
          <w:szCs w:val="36"/>
          <w:lang w:eastAsia="zh-CN"/>
        </w:rPr>
      </w:pPr>
      <w:r>
        <w:rPr>
          <w:rFonts w:asciiTheme="majorEastAsia" w:eastAsiaTheme="majorEastAsia" w:hAnsiTheme="majorEastAsia" w:cstheme="majorEastAsia" w:hint="eastAsia"/>
          <w:b/>
          <w:bCs/>
          <w:color w:val="auto"/>
          <w:sz w:val="36"/>
          <w:szCs w:val="36"/>
          <w:lang w:eastAsia="zh-CN"/>
        </w:rPr>
        <w:t>2026年10月</w:t>
      </w:r>
    </w:p>
    <w:p w14:paraId="2D404D3A" w14:textId="77777777" w:rsidR="00511120" w:rsidRDefault="00511120">
      <w:pPr>
        <w:jc w:val="center"/>
        <w:rPr>
          <w:rFonts w:ascii="Times New Roman" w:eastAsia="宋体" w:hAnsi="Times New Roman" w:cs="Times New Roman"/>
          <w:sz w:val="24"/>
          <w:szCs w:val="24"/>
          <w:lang w:eastAsia="zh-CN"/>
        </w:rPr>
      </w:pPr>
    </w:p>
    <w:p w14:paraId="16DF778D" w14:textId="77777777" w:rsidR="00511120" w:rsidRDefault="00511120">
      <w:pPr>
        <w:pStyle w:val="BodyText"/>
        <w:rPr>
          <w:rFonts w:ascii="Times New Roman" w:eastAsia="宋体" w:hAnsi="Times New Roman" w:cs="Times New Roman"/>
          <w:sz w:val="24"/>
          <w:szCs w:val="24"/>
          <w:lang w:eastAsia="zh-CN"/>
        </w:rPr>
      </w:pPr>
    </w:p>
    <w:p w14:paraId="15FA08A8" w14:textId="77777777" w:rsidR="00511120" w:rsidRDefault="00511120">
      <w:pPr>
        <w:pStyle w:val="BodyText"/>
        <w:rPr>
          <w:rFonts w:ascii="Times New Roman" w:eastAsia="宋体" w:hAnsi="Times New Roman" w:cs="Times New Roman"/>
          <w:sz w:val="24"/>
          <w:szCs w:val="24"/>
          <w:lang w:eastAsia="zh-CN"/>
        </w:rPr>
      </w:pPr>
    </w:p>
    <w:p w14:paraId="342AE3DB" w14:textId="77777777" w:rsidR="00511120" w:rsidRDefault="00511120">
      <w:pPr>
        <w:pStyle w:val="BodyText"/>
        <w:rPr>
          <w:rFonts w:ascii="Times New Roman" w:eastAsia="宋体" w:hAnsi="Times New Roman" w:cs="Times New Roman"/>
          <w:sz w:val="24"/>
          <w:szCs w:val="24"/>
          <w:lang w:eastAsia="zh-CN"/>
        </w:rPr>
        <w:sectPr w:rsidR="00511120">
          <w:headerReference w:type="default" r:id="rId7"/>
          <w:footerReference w:type="default" r:id="rId8"/>
          <w:endnotePr>
            <w:numFmt w:val="decimal"/>
          </w:endnotePr>
          <w:pgSz w:w="11906" w:h="16838"/>
          <w:pgMar w:top="1440" w:right="1800" w:bottom="1440" w:left="1800" w:header="851" w:footer="992" w:gutter="0"/>
          <w:cols w:space="425"/>
          <w:docGrid w:type="lines" w:linePitch="312"/>
        </w:sectPr>
      </w:pPr>
    </w:p>
    <w:p w14:paraId="6C7425B1" w14:textId="77777777" w:rsidR="00511120" w:rsidRDefault="00000000">
      <w:pPr>
        <w:spacing w:after="120"/>
        <w:jc w:val="center"/>
        <w:rPr>
          <w:rFonts w:ascii="宋体" w:eastAsia="宋体" w:hAnsi="宋体"/>
          <w:b/>
          <w:sz w:val="32"/>
          <w:szCs w:val="32"/>
          <w:lang w:eastAsia="zh-CN"/>
        </w:rPr>
      </w:pPr>
      <w:r>
        <w:rPr>
          <w:rFonts w:ascii="宋体" w:eastAsia="宋体" w:hAnsi="宋体" w:hint="eastAsia"/>
          <w:b/>
          <w:sz w:val="32"/>
          <w:szCs w:val="32"/>
          <w:lang w:eastAsia="zh-CN"/>
        </w:rPr>
        <w:lastRenderedPageBreak/>
        <w:t>目　录</w:t>
      </w:r>
    </w:p>
    <w:p w14:paraId="3ED6EF09" w14:textId="77777777" w:rsidR="00511120" w:rsidRDefault="00000000">
      <w:pPr>
        <w:pStyle w:val="TOC1"/>
        <w:tabs>
          <w:tab w:val="right" w:leader="dot" w:pos="8296"/>
        </w:tabs>
        <w:rPr>
          <w:rFonts w:asciiTheme="minorHAnsi" w:eastAsiaTheme="minorEastAsia" w:hAnsiTheme="minorHAnsi" w:cstheme="minorBidi"/>
          <w:noProof/>
          <w:snapToGrid/>
          <w:color w:val="auto"/>
          <w:kern w:val="2"/>
          <w:sz w:val="22"/>
          <w:szCs w:val="24"/>
          <w:lang w:eastAsia="zh-CN"/>
        </w:rPr>
      </w:pPr>
      <w:r>
        <w:fldChar w:fldCharType="begin"/>
      </w:r>
      <w:r>
        <w:instrText xml:space="preserve">TOC \o "1-2" \h \u </w:instrText>
      </w:r>
      <w:r>
        <w:fldChar w:fldCharType="separate"/>
      </w:r>
      <w:hyperlink w:anchor="_Toc243314985" w:history="1">
        <w:r>
          <w:rPr>
            <w:rStyle w:val="Hyperlink"/>
            <w:rFonts w:ascii="黑体" w:eastAsia="黑体" w:hAnsi="黑体" w:cs="黑体" w:hint="eastAsia"/>
            <w:bCs/>
            <w:noProof/>
          </w:rPr>
          <w:t>一、</w:t>
        </w:r>
        <w:r>
          <w:rPr>
            <w:rStyle w:val="Hyperlink"/>
            <w:rFonts w:ascii="黑体" w:eastAsia="黑体" w:hAnsi="黑体" w:cs="黑体" w:hint="eastAsia"/>
            <w:noProof/>
          </w:rPr>
          <w:t xml:space="preserve"> 工作简况</w:t>
        </w:r>
        <w:r>
          <w:rPr>
            <w:noProof/>
          </w:rPr>
          <w:tab/>
        </w:r>
        <w:r>
          <w:rPr>
            <w:noProof/>
          </w:rPr>
          <w:fldChar w:fldCharType="begin"/>
        </w:r>
        <w:r>
          <w:rPr>
            <w:noProof/>
          </w:rPr>
          <w:instrText xml:space="preserve"> PAGEREF _Toc243314985 \h </w:instrText>
        </w:r>
        <w:r>
          <w:rPr>
            <w:noProof/>
          </w:rPr>
        </w:r>
        <w:r>
          <w:rPr>
            <w:noProof/>
          </w:rPr>
          <w:fldChar w:fldCharType="separate"/>
        </w:r>
        <w:r>
          <w:rPr>
            <w:noProof/>
          </w:rPr>
          <w:t>3</w:t>
        </w:r>
        <w:r>
          <w:rPr>
            <w:noProof/>
          </w:rPr>
          <w:fldChar w:fldCharType="end"/>
        </w:r>
      </w:hyperlink>
    </w:p>
    <w:p w14:paraId="569D104C" w14:textId="77777777" w:rsidR="00511120" w:rsidRDefault="00000000">
      <w:pPr>
        <w:pStyle w:val="TOC2"/>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4986" w:history="1">
        <w:r>
          <w:rPr>
            <w:rStyle w:val="Hyperlink"/>
            <w:rFonts w:ascii="宋体" w:eastAsia="宋体" w:hAnsi="宋体" w:cs="宋体" w:hint="eastAsia"/>
            <w:noProof/>
          </w:rPr>
          <w:t>（一）</w:t>
        </w:r>
        <w:r>
          <w:rPr>
            <w:rStyle w:val="Hyperlink"/>
            <w:rFonts w:ascii="黑体" w:hAnsi="黑体" w:cs="黑体"/>
            <w:noProof/>
          </w:rPr>
          <w:t xml:space="preserve"> </w:t>
        </w:r>
        <w:r>
          <w:rPr>
            <w:rStyle w:val="Hyperlink"/>
            <w:rFonts w:ascii="宋体" w:eastAsia="宋体" w:hAnsi="宋体" w:cs="宋体" w:hint="eastAsia"/>
            <w:noProof/>
          </w:rPr>
          <w:t>任务来源</w:t>
        </w:r>
        <w:r>
          <w:rPr>
            <w:noProof/>
          </w:rPr>
          <w:tab/>
        </w:r>
        <w:r>
          <w:rPr>
            <w:noProof/>
          </w:rPr>
          <w:fldChar w:fldCharType="begin"/>
        </w:r>
        <w:r>
          <w:rPr>
            <w:noProof/>
          </w:rPr>
          <w:instrText xml:space="preserve"> PAGEREF _Toc243314986 \h </w:instrText>
        </w:r>
        <w:r>
          <w:rPr>
            <w:noProof/>
          </w:rPr>
        </w:r>
        <w:r>
          <w:rPr>
            <w:noProof/>
          </w:rPr>
          <w:fldChar w:fldCharType="separate"/>
        </w:r>
        <w:r>
          <w:rPr>
            <w:noProof/>
          </w:rPr>
          <w:t>3</w:t>
        </w:r>
        <w:r>
          <w:rPr>
            <w:noProof/>
          </w:rPr>
          <w:fldChar w:fldCharType="end"/>
        </w:r>
      </w:hyperlink>
    </w:p>
    <w:p w14:paraId="62872041" w14:textId="77777777" w:rsidR="00511120" w:rsidRDefault="00000000">
      <w:pPr>
        <w:pStyle w:val="TOC2"/>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4987" w:history="1">
        <w:r>
          <w:rPr>
            <w:rStyle w:val="Hyperlink"/>
            <w:rFonts w:ascii="宋体" w:eastAsia="宋体" w:hAnsi="宋体" w:cs="宋体" w:hint="eastAsia"/>
            <w:noProof/>
          </w:rPr>
          <w:t>（二）</w:t>
        </w:r>
        <w:r>
          <w:rPr>
            <w:rStyle w:val="Hyperlink"/>
            <w:rFonts w:ascii="黑体" w:hAnsi="黑体" w:cs="黑体"/>
            <w:noProof/>
          </w:rPr>
          <w:t xml:space="preserve"> </w:t>
        </w:r>
        <w:r>
          <w:rPr>
            <w:rStyle w:val="Hyperlink"/>
            <w:rFonts w:ascii="宋体" w:eastAsia="宋体" w:hAnsi="宋体" w:cs="宋体" w:hint="eastAsia"/>
            <w:noProof/>
          </w:rPr>
          <w:t>制定背景</w:t>
        </w:r>
        <w:r>
          <w:rPr>
            <w:noProof/>
          </w:rPr>
          <w:tab/>
        </w:r>
        <w:r>
          <w:rPr>
            <w:noProof/>
          </w:rPr>
          <w:fldChar w:fldCharType="begin"/>
        </w:r>
        <w:r>
          <w:rPr>
            <w:noProof/>
          </w:rPr>
          <w:instrText xml:space="preserve"> PAGEREF _Toc243314987 \h </w:instrText>
        </w:r>
        <w:r>
          <w:rPr>
            <w:noProof/>
          </w:rPr>
        </w:r>
        <w:r>
          <w:rPr>
            <w:noProof/>
          </w:rPr>
          <w:fldChar w:fldCharType="separate"/>
        </w:r>
        <w:r>
          <w:rPr>
            <w:noProof/>
          </w:rPr>
          <w:t>3</w:t>
        </w:r>
        <w:r>
          <w:rPr>
            <w:noProof/>
          </w:rPr>
          <w:fldChar w:fldCharType="end"/>
        </w:r>
      </w:hyperlink>
    </w:p>
    <w:p w14:paraId="74ED45FC" w14:textId="77777777" w:rsidR="00511120" w:rsidRDefault="00000000">
      <w:pPr>
        <w:pStyle w:val="TOC2"/>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4988" w:history="1">
        <w:r>
          <w:rPr>
            <w:rStyle w:val="Hyperlink"/>
            <w:rFonts w:ascii="宋体" w:eastAsia="宋体" w:hAnsi="宋体" w:cs="宋体" w:hint="eastAsia"/>
            <w:noProof/>
          </w:rPr>
          <w:t>（三）</w:t>
        </w:r>
        <w:r>
          <w:rPr>
            <w:rStyle w:val="Hyperlink"/>
            <w:rFonts w:ascii="黑体" w:hAnsi="黑体" w:cs="黑体"/>
            <w:noProof/>
          </w:rPr>
          <w:t xml:space="preserve"> </w:t>
        </w:r>
        <w:r>
          <w:rPr>
            <w:rStyle w:val="Hyperlink"/>
            <w:rFonts w:ascii="宋体" w:eastAsia="宋体" w:hAnsi="宋体" w:cs="宋体" w:hint="eastAsia"/>
            <w:noProof/>
          </w:rPr>
          <w:t>产业化情况</w:t>
        </w:r>
        <w:r>
          <w:rPr>
            <w:noProof/>
          </w:rPr>
          <w:tab/>
        </w:r>
        <w:r>
          <w:rPr>
            <w:noProof/>
          </w:rPr>
          <w:fldChar w:fldCharType="begin"/>
        </w:r>
        <w:r>
          <w:rPr>
            <w:noProof/>
          </w:rPr>
          <w:instrText xml:space="preserve"> PAGEREF _Toc243314988 \h </w:instrText>
        </w:r>
        <w:r>
          <w:rPr>
            <w:noProof/>
          </w:rPr>
        </w:r>
        <w:r>
          <w:rPr>
            <w:noProof/>
          </w:rPr>
          <w:fldChar w:fldCharType="separate"/>
        </w:r>
        <w:r>
          <w:rPr>
            <w:noProof/>
          </w:rPr>
          <w:t>4</w:t>
        </w:r>
        <w:r>
          <w:rPr>
            <w:noProof/>
          </w:rPr>
          <w:fldChar w:fldCharType="end"/>
        </w:r>
      </w:hyperlink>
    </w:p>
    <w:p w14:paraId="4DA2D5B9" w14:textId="77777777" w:rsidR="00511120" w:rsidRDefault="00000000">
      <w:pPr>
        <w:pStyle w:val="TOC2"/>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4989" w:history="1">
        <w:r>
          <w:rPr>
            <w:rStyle w:val="Hyperlink"/>
            <w:rFonts w:ascii="宋体" w:eastAsia="宋体" w:hAnsi="宋体" w:cs="宋体" w:hint="eastAsia"/>
            <w:noProof/>
          </w:rPr>
          <w:t>（四）</w:t>
        </w:r>
        <w:r>
          <w:rPr>
            <w:rStyle w:val="Hyperlink"/>
            <w:rFonts w:ascii="黑体" w:hAnsi="黑体" w:cs="黑体"/>
            <w:noProof/>
          </w:rPr>
          <w:t xml:space="preserve"> </w:t>
        </w:r>
        <w:r>
          <w:rPr>
            <w:rStyle w:val="Hyperlink"/>
            <w:rFonts w:ascii="宋体" w:eastAsia="宋体" w:hAnsi="宋体" w:cs="宋体" w:hint="eastAsia"/>
            <w:noProof/>
          </w:rPr>
          <w:t>起草过程</w:t>
        </w:r>
        <w:r>
          <w:rPr>
            <w:noProof/>
          </w:rPr>
          <w:tab/>
        </w:r>
        <w:r>
          <w:rPr>
            <w:noProof/>
          </w:rPr>
          <w:fldChar w:fldCharType="begin"/>
        </w:r>
        <w:r>
          <w:rPr>
            <w:noProof/>
          </w:rPr>
          <w:instrText xml:space="preserve"> PAGEREF _Toc243314989 \h </w:instrText>
        </w:r>
        <w:r>
          <w:rPr>
            <w:noProof/>
          </w:rPr>
        </w:r>
        <w:r>
          <w:rPr>
            <w:noProof/>
          </w:rPr>
          <w:fldChar w:fldCharType="separate"/>
        </w:r>
        <w:r>
          <w:rPr>
            <w:noProof/>
          </w:rPr>
          <w:t>5</w:t>
        </w:r>
        <w:r>
          <w:rPr>
            <w:noProof/>
          </w:rPr>
          <w:fldChar w:fldCharType="end"/>
        </w:r>
      </w:hyperlink>
    </w:p>
    <w:p w14:paraId="7AEDF9BD" w14:textId="77777777" w:rsidR="00511120" w:rsidRDefault="00000000">
      <w:pPr>
        <w:pStyle w:val="TOC2"/>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4990" w:history="1">
        <w:r>
          <w:rPr>
            <w:rStyle w:val="Hyperlink"/>
            <w:rFonts w:ascii="宋体" w:eastAsia="宋体" w:hAnsi="宋体" w:cs="宋体" w:hint="eastAsia"/>
            <w:noProof/>
          </w:rPr>
          <w:t>（五）</w:t>
        </w:r>
        <w:r>
          <w:rPr>
            <w:rStyle w:val="Hyperlink"/>
            <w:rFonts w:ascii="黑体" w:hAnsi="黑体" w:cs="黑体"/>
            <w:noProof/>
          </w:rPr>
          <w:t xml:space="preserve"> </w:t>
        </w:r>
        <w:r>
          <w:rPr>
            <w:rStyle w:val="Hyperlink"/>
            <w:rFonts w:ascii="宋体" w:eastAsia="宋体" w:hAnsi="宋体" w:cs="宋体" w:hint="eastAsia"/>
            <w:noProof/>
          </w:rPr>
          <w:t>制标任务分工</w:t>
        </w:r>
        <w:r>
          <w:rPr>
            <w:noProof/>
          </w:rPr>
          <w:tab/>
        </w:r>
        <w:r>
          <w:rPr>
            <w:noProof/>
          </w:rPr>
          <w:fldChar w:fldCharType="begin"/>
        </w:r>
        <w:r>
          <w:rPr>
            <w:noProof/>
          </w:rPr>
          <w:instrText xml:space="preserve"> PAGEREF _Toc243314990 \h </w:instrText>
        </w:r>
        <w:r>
          <w:rPr>
            <w:noProof/>
          </w:rPr>
        </w:r>
        <w:r>
          <w:rPr>
            <w:noProof/>
          </w:rPr>
          <w:fldChar w:fldCharType="separate"/>
        </w:r>
        <w:r>
          <w:rPr>
            <w:noProof/>
          </w:rPr>
          <w:t>6</w:t>
        </w:r>
        <w:r>
          <w:rPr>
            <w:noProof/>
          </w:rPr>
          <w:fldChar w:fldCharType="end"/>
        </w:r>
      </w:hyperlink>
    </w:p>
    <w:p w14:paraId="1692B835" w14:textId="77777777" w:rsidR="00511120" w:rsidRDefault="00000000">
      <w:pPr>
        <w:pStyle w:val="TOC1"/>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4991" w:history="1">
        <w:r>
          <w:rPr>
            <w:rStyle w:val="Hyperlink"/>
            <w:rFonts w:ascii="黑体" w:eastAsia="黑体" w:hAnsi="黑体" w:cs="黑体" w:hint="eastAsia"/>
            <w:bCs/>
            <w:noProof/>
            <w:lang w:eastAsia="zh-CN"/>
          </w:rPr>
          <w:t>二、</w:t>
        </w:r>
        <w:r>
          <w:rPr>
            <w:rStyle w:val="Hyperlink"/>
            <w:rFonts w:ascii="黑体" w:eastAsia="黑体" w:hAnsi="黑体" w:cs="黑体" w:hint="eastAsia"/>
            <w:noProof/>
            <w:lang w:eastAsia="zh-CN"/>
          </w:rPr>
          <w:t xml:space="preserve"> 标准编制原则、主要内容及其确定依据</w:t>
        </w:r>
        <w:r>
          <w:rPr>
            <w:noProof/>
          </w:rPr>
          <w:tab/>
        </w:r>
        <w:r>
          <w:rPr>
            <w:noProof/>
          </w:rPr>
          <w:fldChar w:fldCharType="begin"/>
        </w:r>
        <w:r>
          <w:rPr>
            <w:noProof/>
          </w:rPr>
          <w:instrText xml:space="preserve"> PAGEREF _Toc243314991 \h </w:instrText>
        </w:r>
        <w:r>
          <w:rPr>
            <w:noProof/>
          </w:rPr>
        </w:r>
        <w:r>
          <w:rPr>
            <w:noProof/>
          </w:rPr>
          <w:fldChar w:fldCharType="separate"/>
        </w:r>
        <w:r>
          <w:rPr>
            <w:noProof/>
          </w:rPr>
          <w:t>7</w:t>
        </w:r>
        <w:r>
          <w:rPr>
            <w:noProof/>
          </w:rPr>
          <w:fldChar w:fldCharType="end"/>
        </w:r>
      </w:hyperlink>
    </w:p>
    <w:p w14:paraId="15B17624" w14:textId="77777777" w:rsidR="00511120" w:rsidRDefault="00000000">
      <w:pPr>
        <w:pStyle w:val="TOC2"/>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4992" w:history="1">
        <w:r>
          <w:rPr>
            <w:rStyle w:val="Hyperlink"/>
            <w:rFonts w:ascii="宋体" w:eastAsia="宋体" w:hAnsi="宋体" w:cs="宋体" w:hint="eastAsia"/>
            <w:noProof/>
          </w:rPr>
          <w:t>（一）</w:t>
        </w:r>
        <w:r>
          <w:rPr>
            <w:rStyle w:val="Hyperlink"/>
            <w:rFonts w:ascii="黑体" w:hAnsi="黑体" w:cs="黑体"/>
            <w:noProof/>
          </w:rPr>
          <w:t xml:space="preserve"> </w:t>
        </w:r>
        <w:r>
          <w:rPr>
            <w:rStyle w:val="Hyperlink"/>
            <w:rFonts w:ascii="宋体" w:eastAsia="宋体" w:hAnsi="宋体" w:cs="宋体" w:hint="eastAsia"/>
            <w:noProof/>
          </w:rPr>
          <w:t>编制原则</w:t>
        </w:r>
        <w:r>
          <w:rPr>
            <w:noProof/>
          </w:rPr>
          <w:tab/>
        </w:r>
        <w:r>
          <w:rPr>
            <w:noProof/>
          </w:rPr>
          <w:fldChar w:fldCharType="begin"/>
        </w:r>
        <w:r>
          <w:rPr>
            <w:noProof/>
          </w:rPr>
          <w:instrText xml:space="preserve"> PAGEREF _Toc243314992 \h </w:instrText>
        </w:r>
        <w:r>
          <w:rPr>
            <w:noProof/>
          </w:rPr>
        </w:r>
        <w:r>
          <w:rPr>
            <w:noProof/>
          </w:rPr>
          <w:fldChar w:fldCharType="separate"/>
        </w:r>
        <w:r>
          <w:rPr>
            <w:noProof/>
          </w:rPr>
          <w:t>7</w:t>
        </w:r>
        <w:r>
          <w:rPr>
            <w:noProof/>
          </w:rPr>
          <w:fldChar w:fldCharType="end"/>
        </w:r>
      </w:hyperlink>
    </w:p>
    <w:p w14:paraId="540DEEFC" w14:textId="77777777" w:rsidR="00511120" w:rsidRDefault="00000000">
      <w:pPr>
        <w:pStyle w:val="TOC2"/>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4993" w:history="1">
        <w:r>
          <w:rPr>
            <w:rStyle w:val="Hyperlink"/>
            <w:rFonts w:ascii="宋体" w:eastAsia="宋体" w:hAnsi="宋体" w:cs="宋体" w:hint="eastAsia"/>
            <w:noProof/>
          </w:rPr>
          <w:t>（二）</w:t>
        </w:r>
        <w:r>
          <w:rPr>
            <w:rStyle w:val="Hyperlink"/>
            <w:rFonts w:ascii="黑体" w:hAnsi="黑体" w:cs="黑体"/>
            <w:noProof/>
          </w:rPr>
          <w:t xml:space="preserve"> </w:t>
        </w:r>
        <w:r>
          <w:rPr>
            <w:rStyle w:val="Hyperlink"/>
            <w:rFonts w:ascii="宋体" w:eastAsia="宋体" w:hAnsi="宋体" w:cs="宋体" w:hint="eastAsia"/>
            <w:noProof/>
          </w:rPr>
          <w:t>主要内容及确定依据</w:t>
        </w:r>
        <w:r>
          <w:rPr>
            <w:noProof/>
          </w:rPr>
          <w:tab/>
        </w:r>
        <w:r>
          <w:rPr>
            <w:noProof/>
          </w:rPr>
          <w:fldChar w:fldCharType="begin"/>
        </w:r>
        <w:r>
          <w:rPr>
            <w:noProof/>
          </w:rPr>
          <w:instrText xml:space="preserve"> PAGEREF _Toc243314993 \h </w:instrText>
        </w:r>
        <w:r>
          <w:rPr>
            <w:noProof/>
          </w:rPr>
        </w:r>
        <w:r>
          <w:rPr>
            <w:noProof/>
          </w:rPr>
          <w:fldChar w:fldCharType="separate"/>
        </w:r>
        <w:r>
          <w:rPr>
            <w:noProof/>
          </w:rPr>
          <w:t>8</w:t>
        </w:r>
        <w:r>
          <w:rPr>
            <w:noProof/>
          </w:rPr>
          <w:fldChar w:fldCharType="end"/>
        </w:r>
      </w:hyperlink>
    </w:p>
    <w:p w14:paraId="35962452" w14:textId="77777777" w:rsidR="00511120" w:rsidRDefault="00000000">
      <w:pPr>
        <w:pStyle w:val="TOC1"/>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4994" w:history="1">
        <w:r>
          <w:rPr>
            <w:rStyle w:val="Hyperlink"/>
            <w:rFonts w:ascii="黑体" w:eastAsia="黑体" w:hAnsi="黑体" w:cs="黑体" w:hint="eastAsia"/>
            <w:bCs/>
            <w:noProof/>
            <w:lang w:eastAsia="zh-CN"/>
          </w:rPr>
          <w:t>三、</w:t>
        </w:r>
        <w:r>
          <w:rPr>
            <w:rStyle w:val="Hyperlink"/>
            <w:rFonts w:ascii="黑体" w:eastAsia="黑体" w:hAnsi="黑体" w:cs="黑体" w:hint="eastAsia"/>
            <w:noProof/>
            <w:lang w:eastAsia="zh-CN"/>
          </w:rPr>
          <w:t xml:space="preserve"> 主要试验（或验证）的分析、技术经济论证及预期的经济效果</w:t>
        </w:r>
        <w:r>
          <w:rPr>
            <w:noProof/>
          </w:rPr>
          <w:tab/>
        </w:r>
        <w:r>
          <w:rPr>
            <w:noProof/>
          </w:rPr>
          <w:fldChar w:fldCharType="begin"/>
        </w:r>
        <w:r>
          <w:rPr>
            <w:noProof/>
          </w:rPr>
          <w:instrText xml:space="preserve"> PAGEREF _Toc243314994 \h </w:instrText>
        </w:r>
        <w:r>
          <w:rPr>
            <w:noProof/>
          </w:rPr>
        </w:r>
        <w:r>
          <w:rPr>
            <w:noProof/>
          </w:rPr>
          <w:fldChar w:fldCharType="separate"/>
        </w:r>
        <w:r>
          <w:rPr>
            <w:noProof/>
          </w:rPr>
          <w:t>14</w:t>
        </w:r>
        <w:r>
          <w:rPr>
            <w:noProof/>
          </w:rPr>
          <w:fldChar w:fldCharType="end"/>
        </w:r>
      </w:hyperlink>
    </w:p>
    <w:p w14:paraId="5BFC3168" w14:textId="77777777" w:rsidR="00511120" w:rsidRDefault="00000000">
      <w:pPr>
        <w:pStyle w:val="TOC2"/>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4995" w:history="1">
        <w:r>
          <w:rPr>
            <w:rStyle w:val="Hyperlink"/>
            <w:rFonts w:ascii="宋体" w:eastAsia="宋体" w:hAnsi="宋体" w:cs="宋体" w:hint="eastAsia"/>
            <w:noProof/>
            <w:lang w:eastAsia="zh-CN"/>
          </w:rPr>
          <w:t>（一）</w:t>
        </w:r>
        <w:r>
          <w:rPr>
            <w:rStyle w:val="Hyperlink"/>
            <w:rFonts w:ascii="黑体" w:hAnsi="黑体" w:cs="黑体"/>
            <w:noProof/>
            <w:lang w:eastAsia="zh-CN"/>
          </w:rPr>
          <w:t xml:space="preserve"> </w:t>
        </w:r>
        <w:r>
          <w:rPr>
            <w:rStyle w:val="Hyperlink"/>
            <w:rFonts w:ascii="宋体" w:eastAsia="宋体" w:hAnsi="宋体" w:cs="宋体" w:hint="eastAsia"/>
            <w:noProof/>
            <w:lang w:eastAsia="zh-CN"/>
          </w:rPr>
          <w:t>主要试验（或验证）的分析</w:t>
        </w:r>
        <w:r>
          <w:rPr>
            <w:noProof/>
          </w:rPr>
          <w:tab/>
        </w:r>
        <w:r>
          <w:rPr>
            <w:noProof/>
          </w:rPr>
          <w:fldChar w:fldCharType="begin"/>
        </w:r>
        <w:r>
          <w:rPr>
            <w:noProof/>
          </w:rPr>
          <w:instrText xml:space="preserve"> PAGEREF _Toc243314995 \h </w:instrText>
        </w:r>
        <w:r>
          <w:rPr>
            <w:noProof/>
          </w:rPr>
        </w:r>
        <w:r>
          <w:rPr>
            <w:noProof/>
          </w:rPr>
          <w:fldChar w:fldCharType="separate"/>
        </w:r>
        <w:r>
          <w:rPr>
            <w:noProof/>
          </w:rPr>
          <w:t>15</w:t>
        </w:r>
        <w:r>
          <w:rPr>
            <w:noProof/>
          </w:rPr>
          <w:fldChar w:fldCharType="end"/>
        </w:r>
      </w:hyperlink>
    </w:p>
    <w:p w14:paraId="750057E4" w14:textId="77777777" w:rsidR="00511120" w:rsidRDefault="00000000">
      <w:pPr>
        <w:pStyle w:val="TOC2"/>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4996" w:history="1">
        <w:r>
          <w:rPr>
            <w:rStyle w:val="Hyperlink"/>
            <w:rFonts w:ascii="宋体" w:eastAsia="宋体" w:hAnsi="宋体" w:cs="宋体" w:hint="eastAsia"/>
            <w:noProof/>
          </w:rPr>
          <w:t>（二）</w:t>
        </w:r>
        <w:r>
          <w:rPr>
            <w:rStyle w:val="Hyperlink"/>
            <w:rFonts w:ascii="黑体" w:hAnsi="黑体" w:cs="黑体"/>
            <w:noProof/>
          </w:rPr>
          <w:t xml:space="preserve"> </w:t>
        </w:r>
        <w:r>
          <w:rPr>
            <w:rStyle w:val="Hyperlink"/>
            <w:rFonts w:ascii="宋体" w:eastAsia="宋体" w:hAnsi="宋体" w:cs="宋体" w:hint="eastAsia"/>
            <w:noProof/>
          </w:rPr>
          <w:t>技术经济论证</w:t>
        </w:r>
        <w:r>
          <w:rPr>
            <w:noProof/>
          </w:rPr>
          <w:tab/>
        </w:r>
        <w:r>
          <w:rPr>
            <w:noProof/>
          </w:rPr>
          <w:fldChar w:fldCharType="begin"/>
        </w:r>
        <w:r>
          <w:rPr>
            <w:noProof/>
          </w:rPr>
          <w:instrText xml:space="preserve"> PAGEREF _Toc243314996 \h </w:instrText>
        </w:r>
        <w:r>
          <w:rPr>
            <w:noProof/>
          </w:rPr>
        </w:r>
        <w:r>
          <w:rPr>
            <w:noProof/>
          </w:rPr>
          <w:fldChar w:fldCharType="separate"/>
        </w:r>
        <w:r>
          <w:rPr>
            <w:noProof/>
          </w:rPr>
          <w:t>20</w:t>
        </w:r>
        <w:r>
          <w:rPr>
            <w:noProof/>
          </w:rPr>
          <w:fldChar w:fldCharType="end"/>
        </w:r>
      </w:hyperlink>
    </w:p>
    <w:p w14:paraId="2938C25C" w14:textId="77777777" w:rsidR="00511120" w:rsidRDefault="00000000">
      <w:pPr>
        <w:pStyle w:val="TOC2"/>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4997" w:history="1">
        <w:r>
          <w:rPr>
            <w:rStyle w:val="Hyperlink"/>
            <w:rFonts w:ascii="宋体" w:eastAsia="宋体" w:hAnsi="宋体" w:cs="宋体" w:hint="eastAsia"/>
            <w:noProof/>
          </w:rPr>
          <w:t>（三）</w:t>
        </w:r>
        <w:r>
          <w:rPr>
            <w:rStyle w:val="Hyperlink"/>
            <w:rFonts w:ascii="黑体" w:hAnsi="黑体" w:cs="黑体"/>
            <w:noProof/>
          </w:rPr>
          <w:t xml:space="preserve"> </w:t>
        </w:r>
        <w:r>
          <w:rPr>
            <w:rStyle w:val="Hyperlink"/>
            <w:rFonts w:ascii="宋体" w:eastAsia="宋体" w:hAnsi="宋体" w:cs="宋体" w:hint="eastAsia"/>
            <w:noProof/>
          </w:rPr>
          <w:t>预期的经济效果</w:t>
        </w:r>
        <w:r>
          <w:rPr>
            <w:noProof/>
          </w:rPr>
          <w:tab/>
        </w:r>
        <w:r>
          <w:rPr>
            <w:noProof/>
          </w:rPr>
          <w:fldChar w:fldCharType="begin"/>
        </w:r>
        <w:r>
          <w:rPr>
            <w:noProof/>
          </w:rPr>
          <w:instrText xml:space="preserve"> PAGEREF _Toc243314997 \h </w:instrText>
        </w:r>
        <w:r>
          <w:rPr>
            <w:noProof/>
          </w:rPr>
        </w:r>
        <w:r>
          <w:rPr>
            <w:noProof/>
          </w:rPr>
          <w:fldChar w:fldCharType="separate"/>
        </w:r>
        <w:r>
          <w:rPr>
            <w:noProof/>
          </w:rPr>
          <w:t>21</w:t>
        </w:r>
        <w:r>
          <w:rPr>
            <w:noProof/>
          </w:rPr>
          <w:fldChar w:fldCharType="end"/>
        </w:r>
      </w:hyperlink>
    </w:p>
    <w:p w14:paraId="01851912" w14:textId="77777777" w:rsidR="00511120" w:rsidRDefault="00000000">
      <w:pPr>
        <w:pStyle w:val="TOC1"/>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4998" w:history="1">
        <w:r>
          <w:rPr>
            <w:rStyle w:val="Hyperlink"/>
            <w:rFonts w:ascii="黑体" w:eastAsia="黑体" w:hAnsi="黑体" w:cs="黑体" w:hint="eastAsia"/>
            <w:bCs/>
            <w:noProof/>
            <w:lang w:eastAsia="zh-CN"/>
          </w:rPr>
          <w:t>四、</w:t>
        </w:r>
        <w:r>
          <w:rPr>
            <w:rStyle w:val="Hyperlink"/>
            <w:rFonts w:ascii="黑体" w:eastAsia="黑体" w:hAnsi="黑体" w:cs="黑体" w:hint="eastAsia"/>
            <w:noProof/>
            <w:lang w:eastAsia="zh-CN"/>
          </w:rPr>
          <w:t xml:space="preserve"> 与国际、国外同类标准对比情况</w:t>
        </w:r>
        <w:r>
          <w:rPr>
            <w:noProof/>
          </w:rPr>
          <w:tab/>
        </w:r>
        <w:r>
          <w:rPr>
            <w:noProof/>
          </w:rPr>
          <w:fldChar w:fldCharType="begin"/>
        </w:r>
        <w:r>
          <w:rPr>
            <w:noProof/>
          </w:rPr>
          <w:instrText xml:space="preserve"> PAGEREF _Toc243314998 \h </w:instrText>
        </w:r>
        <w:r>
          <w:rPr>
            <w:noProof/>
          </w:rPr>
        </w:r>
        <w:r>
          <w:rPr>
            <w:noProof/>
          </w:rPr>
          <w:fldChar w:fldCharType="separate"/>
        </w:r>
        <w:r>
          <w:rPr>
            <w:noProof/>
          </w:rPr>
          <w:t>22</w:t>
        </w:r>
        <w:r>
          <w:rPr>
            <w:noProof/>
          </w:rPr>
          <w:fldChar w:fldCharType="end"/>
        </w:r>
      </w:hyperlink>
    </w:p>
    <w:p w14:paraId="6A1F6C40" w14:textId="77777777" w:rsidR="00511120" w:rsidRDefault="00000000">
      <w:pPr>
        <w:pStyle w:val="TOC1"/>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4999" w:history="1">
        <w:r>
          <w:rPr>
            <w:rStyle w:val="Hyperlink"/>
            <w:rFonts w:ascii="黑体" w:eastAsia="黑体" w:hAnsi="黑体" w:cs="黑体" w:hint="eastAsia"/>
            <w:bCs/>
            <w:noProof/>
            <w:lang w:eastAsia="zh-CN"/>
          </w:rPr>
          <w:t>五、</w:t>
        </w:r>
        <w:r>
          <w:rPr>
            <w:rStyle w:val="Hyperlink"/>
            <w:rFonts w:ascii="黑体" w:eastAsia="黑体" w:hAnsi="黑体" w:cs="黑体" w:hint="eastAsia"/>
            <w:noProof/>
            <w:lang w:eastAsia="zh-CN"/>
          </w:rPr>
          <w:t xml:space="preserve"> 以国际标准为基础的起草情况</w:t>
        </w:r>
        <w:r>
          <w:rPr>
            <w:noProof/>
          </w:rPr>
          <w:tab/>
        </w:r>
        <w:r>
          <w:rPr>
            <w:noProof/>
          </w:rPr>
          <w:fldChar w:fldCharType="begin"/>
        </w:r>
        <w:r>
          <w:rPr>
            <w:noProof/>
          </w:rPr>
          <w:instrText xml:space="preserve"> PAGEREF _Toc243314999 \h </w:instrText>
        </w:r>
        <w:r>
          <w:rPr>
            <w:noProof/>
          </w:rPr>
        </w:r>
        <w:r>
          <w:rPr>
            <w:noProof/>
          </w:rPr>
          <w:fldChar w:fldCharType="separate"/>
        </w:r>
        <w:r>
          <w:rPr>
            <w:noProof/>
          </w:rPr>
          <w:t>23</w:t>
        </w:r>
        <w:r>
          <w:rPr>
            <w:noProof/>
          </w:rPr>
          <w:fldChar w:fldCharType="end"/>
        </w:r>
      </w:hyperlink>
    </w:p>
    <w:p w14:paraId="5288D39A" w14:textId="77777777" w:rsidR="00511120" w:rsidRDefault="00000000">
      <w:pPr>
        <w:pStyle w:val="TOC1"/>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5000" w:history="1">
        <w:r>
          <w:rPr>
            <w:rStyle w:val="Hyperlink"/>
            <w:rFonts w:ascii="黑体" w:eastAsia="黑体" w:hAnsi="黑体" w:cs="黑体" w:hint="eastAsia"/>
            <w:bCs/>
            <w:noProof/>
            <w:lang w:eastAsia="zh-CN"/>
          </w:rPr>
          <w:t>六、</w:t>
        </w:r>
        <w:r>
          <w:rPr>
            <w:rStyle w:val="Hyperlink"/>
            <w:rFonts w:ascii="黑体" w:eastAsia="黑体" w:hAnsi="黑体" w:cs="黑体" w:hint="eastAsia"/>
            <w:noProof/>
            <w:lang w:eastAsia="zh-CN"/>
          </w:rPr>
          <w:t xml:space="preserve"> 标准重大分歧意见的处理经过和依据</w:t>
        </w:r>
        <w:r>
          <w:rPr>
            <w:noProof/>
          </w:rPr>
          <w:tab/>
        </w:r>
        <w:r>
          <w:rPr>
            <w:noProof/>
          </w:rPr>
          <w:fldChar w:fldCharType="begin"/>
        </w:r>
        <w:r>
          <w:rPr>
            <w:noProof/>
          </w:rPr>
          <w:instrText xml:space="preserve"> PAGEREF _Toc243315000 \h </w:instrText>
        </w:r>
        <w:r>
          <w:rPr>
            <w:noProof/>
          </w:rPr>
        </w:r>
        <w:r>
          <w:rPr>
            <w:noProof/>
          </w:rPr>
          <w:fldChar w:fldCharType="separate"/>
        </w:r>
        <w:r>
          <w:rPr>
            <w:noProof/>
          </w:rPr>
          <w:t>24</w:t>
        </w:r>
        <w:r>
          <w:rPr>
            <w:noProof/>
          </w:rPr>
          <w:fldChar w:fldCharType="end"/>
        </w:r>
      </w:hyperlink>
    </w:p>
    <w:p w14:paraId="662AA604" w14:textId="77777777" w:rsidR="00511120" w:rsidRDefault="00000000">
      <w:pPr>
        <w:pStyle w:val="TOC1"/>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5001" w:history="1">
        <w:r>
          <w:rPr>
            <w:rStyle w:val="Hyperlink"/>
            <w:rFonts w:ascii="黑体" w:eastAsia="黑体" w:hAnsi="黑体" w:cs="黑体" w:hint="eastAsia"/>
            <w:bCs/>
            <w:noProof/>
            <w:lang w:eastAsia="zh-CN"/>
          </w:rPr>
          <w:t>七、</w:t>
        </w:r>
        <w:r>
          <w:rPr>
            <w:rStyle w:val="Hyperlink"/>
            <w:rFonts w:ascii="黑体" w:eastAsia="黑体" w:hAnsi="黑体" w:cs="黑体" w:hint="eastAsia"/>
            <w:noProof/>
            <w:lang w:eastAsia="zh-CN"/>
          </w:rPr>
          <w:t xml:space="preserve"> 与有关法律、行政法规及相关标准的关系</w:t>
        </w:r>
        <w:r>
          <w:rPr>
            <w:noProof/>
          </w:rPr>
          <w:tab/>
        </w:r>
        <w:r>
          <w:rPr>
            <w:noProof/>
          </w:rPr>
          <w:fldChar w:fldCharType="begin"/>
        </w:r>
        <w:r>
          <w:rPr>
            <w:noProof/>
          </w:rPr>
          <w:instrText xml:space="preserve"> PAGEREF _Toc243315001 \h </w:instrText>
        </w:r>
        <w:r>
          <w:rPr>
            <w:noProof/>
          </w:rPr>
        </w:r>
        <w:r>
          <w:rPr>
            <w:noProof/>
          </w:rPr>
          <w:fldChar w:fldCharType="separate"/>
        </w:r>
        <w:r>
          <w:rPr>
            <w:noProof/>
          </w:rPr>
          <w:t>25</w:t>
        </w:r>
        <w:r>
          <w:rPr>
            <w:noProof/>
          </w:rPr>
          <w:fldChar w:fldCharType="end"/>
        </w:r>
      </w:hyperlink>
    </w:p>
    <w:p w14:paraId="0D2FD6F3" w14:textId="77777777" w:rsidR="00511120" w:rsidRDefault="00000000">
      <w:pPr>
        <w:pStyle w:val="TOC2"/>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5002" w:history="1">
        <w:r>
          <w:rPr>
            <w:rStyle w:val="Hyperlink"/>
            <w:rFonts w:ascii="宋体" w:eastAsia="宋体" w:hAnsi="宋体" w:cs="宋体" w:hint="eastAsia"/>
            <w:noProof/>
          </w:rPr>
          <w:t>（一）</w:t>
        </w:r>
        <w:r>
          <w:rPr>
            <w:rStyle w:val="Hyperlink"/>
            <w:rFonts w:ascii="黑体" w:hAnsi="黑体" w:cs="黑体"/>
            <w:noProof/>
          </w:rPr>
          <w:t xml:space="preserve"> </w:t>
        </w:r>
        <w:r>
          <w:rPr>
            <w:rStyle w:val="Hyperlink"/>
            <w:rFonts w:ascii="宋体" w:eastAsia="宋体" w:hAnsi="宋体" w:cs="宋体" w:hint="eastAsia"/>
            <w:noProof/>
          </w:rPr>
          <w:t>与法律法规的关系</w:t>
        </w:r>
        <w:r>
          <w:rPr>
            <w:noProof/>
          </w:rPr>
          <w:tab/>
        </w:r>
        <w:r>
          <w:rPr>
            <w:noProof/>
          </w:rPr>
          <w:fldChar w:fldCharType="begin"/>
        </w:r>
        <w:r>
          <w:rPr>
            <w:noProof/>
          </w:rPr>
          <w:instrText xml:space="preserve"> PAGEREF _Toc243315002 \h </w:instrText>
        </w:r>
        <w:r>
          <w:rPr>
            <w:noProof/>
          </w:rPr>
        </w:r>
        <w:r>
          <w:rPr>
            <w:noProof/>
          </w:rPr>
          <w:fldChar w:fldCharType="separate"/>
        </w:r>
        <w:r>
          <w:rPr>
            <w:noProof/>
          </w:rPr>
          <w:t>25</w:t>
        </w:r>
        <w:r>
          <w:rPr>
            <w:noProof/>
          </w:rPr>
          <w:fldChar w:fldCharType="end"/>
        </w:r>
      </w:hyperlink>
    </w:p>
    <w:p w14:paraId="7F55E68A" w14:textId="77777777" w:rsidR="00511120" w:rsidRDefault="00000000">
      <w:pPr>
        <w:pStyle w:val="TOC2"/>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5003" w:history="1">
        <w:r>
          <w:rPr>
            <w:rStyle w:val="Hyperlink"/>
            <w:rFonts w:ascii="宋体" w:eastAsia="宋体" w:hAnsi="宋体" w:cs="宋体" w:hint="eastAsia"/>
            <w:noProof/>
          </w:rPr>
          <w:t>（二）</w:t>
        </w:r>
        <w:r>
          <w:rPr>
            <w:rStyle w:val="Hyperlink"/>
            <w:rFonts w:ascii="黑体" w:hAnsi="黑体" w:cs="黑体"/>
            <w:noProof/>
          </w:rPr>
          <w:t xml:space="preserve"> </w:t>
        </w:r>
        <w:r>
          <w:rPr>
            <w:rStyle w:val="Hyperlink"/>
            <w:rFonts w:ascii="宋体" w:eastAsia="宋体" w:hAnsi="宋体" w:cs="宋体" w:hint="eastAsia"/>
            <w:noProof/>
          </w:rPr>
          <w:t>与相关标准的关系</w:t>
        </w:r>
        <w:r>
          <w:rPr>
            <w:noProof/>
          </w:rPr>
          <w:tab/>
        </w:r>
        <w:r>
          <w:rPr>
            <w:noProof/>
          </w:rPr>
          <w:fldChar w:fldCharType="begin"/>
        </w:r>
        <w:r>
          <w:rPr>
            <w:noProof/>
          </w:rPr>
          <w:instrText xml:space="preserve"> PAGEREF _Toc243315003 \h </w:instrText>
        </w:r>
        <w:r>
          <w:rPr>
            <w:noProof/>
          </w:rPr>
        </w:r>
        <w:r>
          <w:rPr>
            <w:noProof/>
          </w:rPr>
          <w:fldChar w:fldCharType="separate"/>
        </w:r>
        <w:r>
          <w:rPr>
            <w:noProof/>
          </w:rPr>
          <w:t>26</w:t>
        </w:r>
        <w:r>
          <w:rPr>
            <w:noProof/>
          </w:rPr>
          <w:fldChar w:fldCharType="end"/>
        </w:r>
      </w:hyperlink>
    </w:p>
    <w:p w14:paraId="1D7A3A2A" w14:textId="77777777" w:rsidR="00511120" w:rsidRDefault="00000000">
      <w:pPr>
        <w:pStyle w:val="TOC1"/>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5004" w:history="1">
        <w:r>
          <w:rPr>
            <w:rStyle w:val="Hyperlink"/>
            <w:rFonts w:ascii="黑体" w:eastAsia="黑体" w:hAnsi="黑体" w:cs="黑体" w:hint="eastAsia"/>
            <w:bCs/>
            <w:noProof/>
          </w:rPr>
          <w:t>八、</w:t>
        </w:r>
        <w:r>
          <w:rPr>
            <w:rStyle w:val="Hyperlink"/>
            <w:rFonts w:ascii="黑体" w:eastAsia="黑体" w:hAnsi="黑体" w:cs="黑体" w:hint="eastAsia"/>
            <w:noProof/>
          </w:rPr>
          <w:t xml:space="preserve"> 涉及专利的有关说明</w:t>
        </w:r>
        <w:r>
          <w:rPr>
            <w:noProof/>
          </w:rPr>
          <w:tab/>
        </w:r>
        <w:r>
          <w:rPr>
            <w:noProof/>
          </w:rPr>
          <w:fldChar w:fldCharType="begin"/>
        </w:r>
        <w:r>
          <w:rPr>
            <w:noProof/>
          </w:rPr>
          <w:instrText xml:space="preserve"> PAGEREF _Toc243315004 \h </w:instrText>
        </w:r>
        <w:r>
          <w:rPr>
            <w:noProof/>
          </w:rPr>
        </w:r>
        <w:r>
          <w:rPr>
            <w:noProof/>
          </w:rPr>
          <w:fldChar w:fldCharType="separate"/>
        </w:r>
        <w:r>
          <w:rPr>
            <w:noProof/>
          </w:rPr>
          <w:t>27</w:t>
        </w:r>
        <w:r>
          <w:rPr>
            <w:noProof/>
          </w:rPr>
          <w:fldChar w:fldCharType="end"/>
        </w:r>
      </w:hyperlink>
    </w:p>
    <w:p w14:paraId="751624D0" w14:textId="77777777" w:rsidR="00511120" w:rsidRDefault="00000000">
      <w:pPr>
        <w:pStyle w:val="TOC1"/>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5005" w:history="1">
        <w:r>
          <w:rPr>
            <w:rStyle w:val="Hyperlink"/>
            <w:rFonts w:ascii="黑体" w:eastAsia="黑体" w:hAnsi="黑体" w:cs="黑体" w:hint="eastAsia"/>
            <w:bCs/>
            <w:noProof/>
            <w:lang w:eastAsia="zh-CN"/>
          </w:rPr>
          <w:t>九、</w:t>
        </w:r>
        <w:r>
          <w:rPr>
            <w:rStyle w:val="Hyperlink"/>
            <w:rFonts w:ascii="黑体" w:eastAsia="黑体" w:hAnsi="黑体" w:cs="黑体" w:hint="eastAsia"/>
            <w:noProof/>
            <w:lang w:eastAsia="zh-CN"/>
          </w:rPr>
          <w:t xml:space="preserve"> 实施团体标准的要求及措施建议</w:t>
        </w:r>
        <w:r>
          <w:rPr>
            <w:noProof/>
          </w:rPr>
          <w:tab/>
        </w:r>
        <w:r>
          <w:rPr>
            <w:noProof/>
          </w:rPr>
          <w:fldChar w:fldCharType="begin"/>
        </w:r>
        <w:r>
          <w:rPr>
            <w:noProof/>
          </w:rPr>
          <w:instrText xml:space="preserve"> PAGEREF _Toc243315005 \h </w:instrText>
        </w:r>
        <w:r>
          <w:rPr>
            <w:noProof/>
          </w:rPr>
        </w:r>
        <w:r>
          <w:rPr>
            <w:noProof/>
          </w:rPr>
          <w:fldChar w:fldCharType="separate"/>
        </w:r>
        <w:r>
          <w:rPr>
            <w:noProof/>
          </w:rPr>
          <w:t>27</w:t>
        </w:r>
        <w:r>
          <w:rPr>
            <w:noProof/>
          </w:rPr>
          <w:fldChar w:fldCharType="end"/>
        </w:r>
      </w:hyperlink>
    </w:p>
    <w:p w14:paraId="6D8F2B4F" w14:textId="77777777" w:rsidR="00511120" w:rsidRDefault="00000000">
      <w:pPr>
        <w:pStyle w:val="TOC2"/>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5006" w:history="1">
        <w:r>
          <w:rPr>
            <w:rStyle w:val="Hyperlink"/>
            <w:rFonts w:ascii="宋体" w:eastAsia="宋体" w:hAnsi="宋体" w:cs="宋体" w:hint="eastAsia"/>
            <w:noProof/>
          </w:rPr>
          <w:t>（一）</w:t>
        </w:r>
        <w:r>
          <w:rPr>
            <w:rStyle w:val="Hyperlink"/>
            <w:rFonts w:ascii="黑体" w:hAnsi="黑体" w:cs="黑体"/>
            <w:noProof/>
          </w:rPr>
          <w:t xml:space="preserve"> </w:t>
        </w:r>
        <w:r>
          <w:rPr>
            <w:rStyle w:val="Hyperlink"/>
            <w:rFonts w:ascii="宋体" w:eastAsia="宋体" w:hAnsi="宋体" w:cs="宋体" w:hint="eastAsia"/>
            <w:noProof/>
          </w:rPr>
          <w:t>组织措施</w:t>
        </w:r>
        <w:r>
          <w:rPr>
            <w:noProof/>
          </w:rPr>
          <w:tab/>
        </w:r>
        <w:r>
          <w:rPr>
            <w:noProof/>
          </w:rPr>
          <w:fldChar w:fldCharType="begin"/>
        </w:r>
        <w:r>
          <w:rPr>
            <w:noProof/>
          </w:rPr>
          <w:instrText xml:space="preserve"> PAGEREF _Toc243315006 \h </w:instrText>
        </w:r>
        <w:r>
          <w:rPr>
            <w:noProof/>
          </w:rPr>
        </w:r>
        <w:r>
          <w:rPr>
            <w:noProof/>
          </w:rPr>
          <w:fldChar w:fldCharType="separate"/>
        </w:r>
        <w:r>
          <w:rPr>
            <w:noProof/>
          </w:rPr>
          <w:t>27</w:t>
        </w:r>
        <w:r>
          <w:rPr>
            <w:noProof/>
          </w:rPr>
          <w:fldChar w:fldCharType="end"/>
        </w:r>
      </w:hyperlink>
    </w:p>
    <w:p w14:paraId="287D5755" w14:textId="77777777" w:rsidR="00511120" w:rsidRDefault="00000000">
      <w:pPr>
        <w:pStyle w:val="TOC2"/>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5007" w:history="1">
        <w:r>
          <w:rPr>
            <w:rStyle w:val="Hyperlink"/>
            <w:rFonts w:ascii="宋体" w:eastAsia="宋体" w:hAnsi="宋体" w:cs="宋体" w:hint="eastAsia"/>
            <w:noProof/>
          </w:rPr>
          <w:t>（二）</w:t>
        </w:r>
        <w:r>
          <w:rPr>
            <w:rStyle w:val="Hyperlink"/>
            <w:rFonts w:ascii="黑体" w:hAnsi="黑体" w:cs="黑体"/>
            <w:noProof/>
          </w:rPr>
          <w:t xml:space="preserve"> </w:t>
        </w:r>
        <w:r>
          <w:rPr>
            <w:rStyle w:val="Hyperlink"/>
            <w:rFonts w:ascii="宋体" w:eastAsia="宋体" w:hAnsi="宋体" w:cs="宋体" w:hint="eastAsia"/>
            <w:noProof/>
          </w:rPr>
          <w:t>技术措施</w:t>
        </w:r>
        <w:r>
          <w:rPr>
            <w:noProof/>
          </w:rPr>
          <w:tab/>
        </w:r>
        <w:r>
          <w:rPr>
            <w:noProof/>
          </w:rPr>
          <w:fldChar w:fldCharType="begin"/>
        </w:r>
        <w:r>
          <w:rPr>
            <w:noProof/>
          </w:rPr>
          <w:instrText xml:space="preserve"> PAGEREF _Toc243315007 \h </w:instrText>
        </w:r>
        <w:r>
          <w:rPr>
            <w:noProof/>
          </w:rPr>
        </w:r>
        <w:r>
          <w:rPr>
            <w:noProof/>
          </w:rPr>
          <w:fldChar w:fldCharType="separate"/>
        </w:r>
        <w:r>
          <w:rPr>
            <w:noProof/>
          </w:rPr>
          <w:t>27</w:t>
        </w:r>
        <w:r>
          <w:rPr>
            <w:noProof/>
          </w:rPr>
          <w:fldChar w:fldCharType="end"/>
        </w:r>
      </w:hyperlink>
    </w:p>
    <w:p w14:paraId="6B8C256D" w14:textId="77777777" w:rsidR="00511120" w:rsidRDefault="00000000">
      <w:pPr>
        <w:pStyle w:val="TOC2"/>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5008" w:history="1">
        <w:r>
          <w:rPr>
            <w:rStyle w:val="Hyperlink"/>
            <w:rFonts w:ascii="宋体" w:eastAsia="宋体" w:hAnsi="宋体" w:cs="宋体" w:hint="eastAsia"/>
            <w:noProof/>
            <w:lang w:eastAsia="zh-CN"/>
          </w:rPr>
          <w:t>（三）</w:t>
        </w:r>
        <w:r>
          <w:rPr>
            <w:rStyle w:val="Hyperlink"/>
            <w:rFonts w:ascii="黑体" w:hAnsi="黑体" w:cs="黑体"/>
            <w:noProof/>
            <w:lang w:eastAsia="zh-CN"/>
          </w:rPr>
          <w:t xml:space="preserve"> </w:t>
        </w:r>
        <w:r>
          <w:rPr>
            <w:rStyle w:val="Hyperlink"/>
            <w:rFonts w:ascii="宋体" w:eastAsia="宋体" w:hAnsi="宋体" w:cs="宋体" w:hint="eastAsia"/>
            <w:noProof/>
            <w:lang w:eastAsia="zh-CN"/>
          </w:rPr>
          <w:t>过渡办法与实施日期建议</w:t>
        </w:r>
        <w:r>
          <w:rPr>
            <w:noProof/>
          </w:rPr>
          <w:tab/>
        </w:r>
        <w:r>
          <w:rPr>
            <w:noProof/>
          </w:rPr>
          <w:fldChar w:fldCharType="begin"/>
        </w:r>
        <w:r>
          <w:rPr>
            <w:noProof/>
          </w:rPr>
          <w:instrText xml:space="preserve"> PAGEREF _Toc243315008 \h </w:instrText>
        </w:r>
        <w:r>
          <w:rPr>
            <w:noProof/>
          </w:rPr>
        </w:r>
        <w:r>
          <w:rPr>
            <w:noProof/>
          </w:rPr>
          <w:fldChar w:fldCharType="separate"/>
        </w:r>
        <w:r>
          <w:rPr>
            <w:noProof/>
          </w:rPr>
          <w:t>28</w:t>
        </w:r>
        <w:r>
          <w:rPr>
            <w:noProof/>
          </w:rPr>
          <w:fldChar w:fldCharType="end"/>
        </w:r>
      </w:hyperlink>
    </w:p>
    <w:p w14:paraId="7A84C6B9" w14:textId="77777777" w:rsidR="00511120" w:rsidRDefault="00000000">
      <w:pPr>
        <w:pStyle w:val="TOC1"/>
        <w:tabs>
          <w:tab w:val="right" w:leader="dot" w:pos="8296"/>
        </w:tabs>
        <w:rPr>
          <w:rFonts w:asciiTheme="minorHAnsi" w:eastAsiaTheme="minorEastAsia" w:hAnsiTheme="minorHAnsi" w:cstheme="minorBidi"/>
          <w:noProof/>
          <w:snapToGrid/>
          <w:color w:val="auto"/>
          <w:kern w:val="2"/>
          <w:sz w:val="22"/>
          <w:szCs w:val="24"/>
          <w:lang w:eastAsia="zh-CN"/>
        </w:rPr>
      </w:pPr>
      <w:hyperlink w:anchor="_Toc243315009" w:history="1">
        <w:r>
          <w:rPr>
            <w:rStyle w:val="Hyperlink"/>
            <w:rFonts w:ascii="黑体" w:eastAsia="黑体" w:hAnsi="黑体" w:cs="黑体" w:hint="eastAsia"/>
            <w:bCs/>
            <w:noProof/>
          </w:rPr>
          <w:t>十、</w:t>
        </w:r>
        <w:r>
          <w:rPr>
            <w:rStyle w:val="Hyperlink"/>
            <w:rFonts w:ascii="黑体" w:eastAsia="黑体" w:hAnsi="黑体" w:cs="黑体" w:hint="eastAsia"/>
            <w:noProof/>
          </w:rPr>
          <w:t xml:space="preserve"> 其他应予说明的事项</w:t>
        </w:r>
        <w:r>
          <w:rPr>
            <w:noProof/>
          </w:rPr>
          <w:tab/>
        </w:r>
        <w:r>
          <w:rPr>
            <w:noProof/>
          </w:rPr>
          <w:fldChar w:fldCharType="begin"/>
        </w:r>
        <w:r>
          <w:rPr>
            <w:noProof/>
          </w:rPr>
          <w:instrText xml:space="preserve"> PAGEREF _Toc243315009 \h </w:instrText>
        </w:r>
        <w:r>
          <w:rPr>
            <w:noProof/>
          </w:rPr>
        </w:r>
        <w:r>
          <w:rPr>
            <w:noProof/>
          </w:rPr>
          <w:fldChar w:fldCharType="separate"/>
        </w:r>
        <w:r>
          <w:rPr>
            <w:noProof/>
          </w:rPr>
          <w:t>28</w:t>
        </w:r>
        <w:r>
          <w:rPr>
            <w:noProof/>
          </w:rPr>
          <w:fldChar w:fldCharType="end"/>
        </w:r>
      </w:hyperlink>
    </w:p>
    <w:p w14:paraId="52C8986C" w14:textId="77777777" w:rsidR="00511120" w:rsidRDefault="00000000">
      <w:pPr>
        <w:tabs>
          <w:tab w:val="right" w:leader="dot" w:pos="8306"/>
        </w:tabs>
        <w:rPr>
          <w:rFonts w:ascii="宋体" w:eastAsia="宋体" w:hAnsi="宋体"/>
          <w:sz w:val="24"/>
          <w:szCs w:val="24"/>
        </w:rPr>
      </w:pPr>
      <w:r>
        <w:fldChar w:fldCharType="end"/>
      </w:r>
    </w:p>
    <w:p w14:paraId="748C52C1" w14:textId="77777777" w:rsidR="00511120" w:rsidRDefault="00511120">
      <w:pPr>
        <w:pStyle w:val="BodyText"/>
        <w:sectPr w:rsidR="00511120">
          <w:headerReference w:type="default" r:id="rId9"/>
          <w:endnotePr>
            <w:numFmt w:val="decimal"/>
          </w:endnotePr>
          <w:pgSz w:w="11906" w:h="16838"/>
          <w:pgMar w:top="1440" w:right="1800" w:bottom="1440" w:left="1800" w:header="851" w:footer="992" w:gutter="0"/>
          <w:cols w:space="425"/>
          <w:docGrid w:type="lines" w:linePitch="312"/>
        </w:sectPr>
      </w:pPr>
    </w:p>
    <w:p w14:paraId="464FA90E" w14:textId="77777777" w:rsidR="00511120" w:rsidRDefault="00000000">
      <w:pPr>
        <w:spacing w:after="60" w:line="360" w:lineRule="auto"/>
        <w:jc w:val="center"/>
        <w:rPr>
          <w:rFonts w:ascii="黑体" w:eastAsia="黑体" w:hAnsi="黑体" w:cs="黑体"/>
          <w:b/>
          <w:sz w:val="36"/>
          <w:szCs w:val="36"/>
          <w:lang w:eastAsia="zh-CN"/>
        </w:rPr>
      </w:pPr>
      <w:r>
        <w:rPr>
          <w:rFonts w:ascii="黑体" w:eastAsia="黑体" w:hAnsi="黑体" w:cs="黑体" w:hint="eastAsia"/>
          <w:b/>
          <w:sz w:val="36"/>
          <w:szCs w:val="36"/>
          <w:lang w:eastAsia="zh-CN"/>
        </w:rPr>
        <w:lastRenderedPageBreak/>
        <w:t>《苏打盐碱地大豆小垄双行浅埋滴灌种植技术》</w:t>
      </w:r>
    </w:p>
    <w:p w14:paraId="79154A23" w14:textId="77777777" w:rsidR="00511120" w:rsidRDefault="00000000">
      <w:pPr>
        <w:spacing w:after="240" w:line="360" w:lineRule="auto"/>
        <w:jc w:val="center"/>
        <w:rPr>
          <w:rFonts w:ascii="黑体" w:eastAsia="黑体" w:hAnsi="黑体" w:cs="黑体"/>
          <w:b/>
          <w:sz w:val="36"/>
          <w:szCs w:val="36"/>
        </w:rPr>
      </w:pPr>
      <w:proofErr w:type="spellStart"/>
      <w:r>
        <w:rPr>
          <w:rFonts w:ascii="黑体" w:eastAsia="黑体" w:hAnsi="黑体" w:cs="黑体" w:hint="eastAsia"/>
          <w:b/>
          <w:sz w:val="36"/>
          <w:szCs w:val="36"/>
        </w:rPr>
        <w:t>团体标准编制说明</w:t>
      </w:r>
      <w:proofErr w:type="spellEnd"/>
    </w:p>
    <w:p w14:paraId="40CA0891" w14:textId="77777777" w:rsidR="00511120" w:rsidRDefault="00000000">
      <w:pPr>
        <w:pStyle w:val="Heading1"/>
        <w:spacing w:before="240" w:after="120" w:line="360" w:lineRule="auto"/>
        <w:rPr>
          <w:rFonts w:ascii="黑体" w:eastAsia="黑体" w:hAnsi="黑体" w:cs="黑体"/>
          <w:sz w:val="28"/>
          <w:szCs w:val="28"/>
        </w:rPr>
      </w:pPr>
      <w:bookmarkStart w:id="0" w:name="_Toc243314985"/>
      <w:proofErr w:type="spellStart"/>
      <w:r>
        <w:rPr>
          <w:rFonts w:ascii="黑体" w:eastAsia="黑体" w:hAnsi="黑体" w:cs="黑体" w:hint="eastAsia"/>
          <w:sz w:val="28"/>
          <w:szCs w:val="28"/>
        </w:rPr>
        <w:t>工作简况</w:t>
      </w:r>
      <w:bookmarkEnd w:id="0"/>
      <w:proofErr w:type="spellEnd"/>
    </w:p>
    <w:p w14:paraId="21B7733A" w14:textId="77777777" w:rsidR="00511120" w:rsidRDefault="00000000">
      <w:pPr>
        <w:pStyle w:val="Heading2"/>
        <w:spacing w:before="180" w:after="90" w:line="360" w:lineRule="auto"/>
        <w:rPr>
          <w:rFonts w:ascii="黑体" w:hAnsi="黑体" w:cs="黑体"/>
          <w:sz w:val="24"/>
          <w:szCs w:val="24"/>
        </w:rPr>
      </w:pPr>
      <w:bookmarkStart w:id="1" w:name="_Toc243314986"/>
      <w:proofErr w:type="spellStart"/>
      <w:r>
        <w:rPr>
          <w:rFonts w:ascii="黑体" w:hAnsi="黑体" w:cs="黑体" w:hint="eastAsia"/>
          <w:sz w:val="24"/>
          <w:szCs w:val="24"/>
        </w:rPr>
        <w:t>任务来源</w:t>
      </w:r>
      <w:bookmarkEnd w:id="1"/>
      <w:proofErr w:type="spellEnd"/>
    </w:p>
    <w:p w14:paraId="15CC35AA" w14:textId="2BDE468E" w:rsidR="00511120" w:rsidRDefault="00000000" w:rsidP="003D1EDB">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中国科学院东北地理与农业生态研究所农业技术中心向中国植物学会提出《苏打盐碱地大豆小垄双行浅埋滴灌种植技术》团体标准立项申请。根据中国植物学会团体标准制修订计划，本文件列入制定项目，由中国植物学会提出并归口。</w:t>
      </w:r>
    </w:p>
    <w:p w14:paraId="56337A12"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本文件由中国科学院东北地理与农业生态研究所农业技术中心牵头起草，东北农业大学、吉林省农业科学院、兴安盟农牧科学研究所、内蒙古民族大学共同参与起草。</w:t>
      </w:r>
    </w:p>
    <w:p w14:paraId="0FDEF10A" w14:textId="77777777" w:rsidR="00511120" w:rsidRDefault="00000000">
      <w:pPr>
        <w:pStyle w:val="Heading2"/>
        <w:spacing w:before="180" w:after="90" w:line="360" w:lineRule="auto"/>
        <w:rPr>
          <w:rFonts w:ascii="黑体" w:hAnsi="黑体" w:cs="黑体"/>
          <w:sz w:val="24"/>
          <w:szCs w:val="24"/>
        </w:rPr>
      </w:pPr>
      <w:bookmarkStart w:id="2" w:name="_Toc243314987"/>
      <w:proofErr w:type="spellStart"/>
      <w:r>
        <w:rPr>
          <w:rFonts w:ascii="黑体" w:hAnsi="黑体" w:cs="黑体" w:hint="eastAsia"/>
          <w:sz w:val="24"/>
          <w:szCs w:val="24"/>
        </w:rPr>
        <w:t>制定背景</w:t>
      </w:r>
      <w:bookmarkEnd w:id="2"/>
      <w:proofErr w:type="spellEnd"/>
    </w:p>
    <w:p w14:paraId="76D1C0B4"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苏打盐碱地是我国东北地区具有代表性的障碍性土壤类型，以</w:t>
      </w:r>
      <w:proofErr w:type="spellStart"/>
      <w:r>
        <w:rPr>
          <w:rFonts w:ascii="方正仿宋_GB2312" w:eastAsia="方正仿宋_GB2312" w:hAnsi="方正仿宋_GB2312" w:cs="方正仿宋_GB2312" w:hint="eastAsia"/>
          <w:sz w:val="24"/>
          <w:szCs w:val="24"/>
          <w:lang w:eastAsia="zh-CN"/>
        </w:rPr>
        <w:t>NaHCO</w:t>
      </w:r>
      <w:proofErr w:type="spellEnd"/>
      <w:r>
        <w:rPr>
          <w:rFonts w:ascii="方正仿宋_GB2312" w:eastAsia="方正仿宋_GB2312" w:hAnsi="方正仿宋_GB2312" w:cs="方正仿宋_GB2312" w:hint="eastAsia"/>
          <w:sz w:val="24"/>
          <w:szCs w:val="24"/>
          <w:lang w:eastAsia="zh-CN"/>
        </w:rPr>
        <w:t>₃、Na₂CO₃等可溶性盐类为主，土壤pH值普遍在8.5以上、碱化度不低于15%，土粒分散、结构紧实、通透性差；加之春季低温干旱多风、蒸发量可达降水量的4倍～6倍，土壤盐分强烈表聚，大豆播种后出苗困难、保苗率低、产量低而不稳，是制约区域大豆产能提升的主要障碍。</w:t>
      </w:r>
    </w:p>
    <w:p w14:paraId="67DAC2CF"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盐碱地作为重要的后备耕地资源，其综合利用对保障国家粮食安全、提升耕地质量具有重要意义。国家已就加强盐碱地综合利用、提升耕地质量作出专门部署，历年中央一号文件先后提出支持将符合条件的盐碱地等后备资源适度开发为耕地、稳步开发盐碱地种植大豆、推进盐碱地综合利用试点并扩种大豆等要求，为本文件的制定提供了政策依据。</w:t>
      </w:r>
    </w:p>
    <w:p w14:paraId="4E705E22"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lastRenderedPageBreak/>
        <w:t>从技术供给看，现行标准难以覆盖苏打盐碱地大豆生产的技术需求：内蒙古自治区已发布DB15/T 2441—2021《大豆大垄密植浅埋滴灌栽培技术规程》，但该标准适用于耕层深厚、土壤肥力较好、具有滴灌条件的地块，未针对盐碱地土壤盐分表聚、出苗困难等特殊问题作出规定；国内已发布的盐碱地大豆栽培标准多集中于滨海盐土和新疆盐碱地，与东北苏打盐碱地的盐分组成、气候条件差异较大。因此，亟需制定针对性强的苏打盐碱地大豆种植技术标准，规范选地整地、滴灌管网铺设、播种、水肥管理和田间管理等关键环节，为大面积生产提供统一的技术依据。</w:t>
      </w:r>
    </w:p>
    <w:p w14:paraId="47D81D83" w14:textId="77777777" w:rsidR="00511120" w:rsidRDefault="00000000">
      <w:pPr>
        <w:pStyle w:val="Heading2"/>
        <w:spacing w:before="180" w:after="90" w:line="360" w:lineRule="auto"/>
        <w:rPr>
          <w:rFonts w:ascii="黑体" w:hAnsi="黑体" w:cs="黑体"/>
          <w:sz w:val="24"/>
          <w:szCs w:val="24"/>
        </w:rPr>
      </w:pPr>
      <w:bookmarkStart w:id="3" w:name="_Toc243314988"/>
      <w:proofErr w:type="spellStart"/>
      <w:r>
        <w:rPr>
          <w:rFonts w:ascii="黑体" w:hAnsi="黑体" w:cs="黑体" w:hint="eastAsia"/>
          <w:sz w:val="24"/>
          <w:szCs w:val="24"/>
        </w:rPr>
        <w:t>产业化情况</w:t>
      </w:r>
      <w:bookmarkEnd w:id="3"/>
      <w:proofErr w:type="spellEnd"/>
    </w:p>
    <w:p w14:paraId="48F0F84A"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东北苏打盐碱地分布区大豆种植以春播一季为主，多为中低产田，常年大豆单产明显低于区域平均水平。近年来，随着浅埋滴灌水肥一体化技术的推广，滴灌带、首部过滤设备、铺管播种一体机等物化投入逐步配套，为盐碱地大豆规范化种植提供了装备基础。</w:t>
      </w:r>
    </w:p>
    <w:p w14:paraId="5F721695"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生产实践中，盐碱地大豆种植仍以经验性操作为主，垄型规格、滴灌带埋深、种植密度、水肥用量等关键参数因地块、品种和种植主体而异，技术到位率差异较大，缺少统一的技术规程。制定本文件，可将分散的试验成果和田间经验固化为可操作的技术条款，指导种植大户、家庭农场、农民专业合作社和农业社会化服务组织规范生产，提升盐碱地大豆生产的标准化水平。</w:t>
      </w:r>
    </w:p>
    <w:p w14:paraId="36D93AF4" w14:textId="77777777" w:rsidR="00511120" w:rsidRDefault="00000000">
      <w:pPr>
        <w:pStyle w:val="Heading2"/>
        <w:spacing w:before="180" w:after="90" w:line="360" w:lineRule="auto"/>
        <w:rPr>
          <w:rFonts w:ascii="黑体" w:hAnsi="黑体" w:cs="黑体"/>
          <w:sz w:val="24"/>
          <w:szCs w:val="24"/>
        </w:rPr>
      </w:pPr>
      <w:bookmarkStart w:id="4" w:name="_Toc243314989"/>
      <w:proofErr w:type="spellStart"/>
      <w:r>
        <w:rPr>
          <w:rFonts w:ascii="黑体" w:hAnsi="黑体" w:cs="黑体" w:hint="eastAsia"/>
          <w:sz w:val="24"/>
          <w:szCs w:val="24"/>
        </w:rPr>
        <w:t>起草过程</w:t>
      </w:r>
      <w:bookmarkEnd w:id="4"/>
      <w:proofErr w:type="spellEnd"/>
    </w:p>
    <w:p w14:paraId="46B780E6" w14:textId="77777777" w:rsidR="00511120" w:rsidRDefault="00000000">
      <w:pPr>
        <w:keepNext/>
        <w:spacing w:before="120" w:after="60"/>
      </w:pPr>
      <w:r>
        <w:rPr>
          <w:rFonts w:ascii="黑体" w:eastAsia="黑体" w:hAnsi="黑体" w:hint="eastAsia"/>
          <w:b/>
          <w:sz w:val="24"/>
          <w:szCs w:val="24"/>
        </w:rPr>
        <w:t xml:space="preserve">1. </w:t>
      </w:r>
      <w:proofErr w:type="spellStart"/>
      <w:r>
        <w:rPr>
          <w:rFonts w:ascii="黑体" w:eastAsia="黑体" w:hAnsi="黑体" w:cs="黑体" w:hint="eastAsia"/>
          <w:b/>
          <w:sz w:val="24"/>
          <w:szCs w:val="24"/>
        </w:rPr>
        <w:t>立项与筹备阶段</w:t>
      </w:r>
      <w:proofErr w:type="spellEnd"/>
    </w:p>
    <w:p w14:paraId="08D8E4BB" w14:textId="4C6B3C78" w:rsidR="00511120" w:rsidRDefault="00000000" w:rsidP="003D1EDB">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牵头单位提出团体标准立项申请，明确标准名称、适用范围、技术框架与进度安排；由中国科学院东北地理与农业生态研究所农业技术中心牵头，联合东北</w:t>
      </w:r>
      <w:r>
        <w:rPr>
          <w:rFonts w:ascii="方正仿宋_GB2312" w:eastAsia="方正仿宋_GB2312" w:hAnsi="方正仿宋_GB2312" w:cs="方正仿宋_GB2312" w:hint="eastAsia"/>
          <w:sz w:val="24"/>
          <w:szCs w:val="24"/>
          <w:lang w:eastAsia="zh-CN"/>
        </w:rPr>
        <w:lastRenderedPageBreak/>
        <w:t>农业大学、吉林省农业科学院、兴安盟农牧科学研究所、内蒙古民族大学成立标准起草工作组，确定任务分工与试验验证方案。</w:t>
      </w:r>
    </w:p>
    <w:p w14:paraId="03CB8000" w14:textId="77777777" w:rsidR="00511120" w:rsidRDefault="00000000">
      <w:pPr>
        <w:keepNext/>
        <w:spacing w:before="120" w:after="60"/>
        <w:rPr>
          <w:lang w:eastAsia="zh-CN"/>
        </w:rPr>
      </w:pPr>
      <w:r>
        <w:rPr>
          <w:rFonts w:ascii="黑体" w:eastAsia="黑体" w:hAnsi="黑体" w:hint="eastAsia"/>
          <w:b/>
          <w:sz w:val="24"/>
          <w:szCs w:val="24"/>
          <w:lang w:eastAsia="zh-CN"/>
        </w:rPr>
        <w:t>2. 产业调研与资料收集阶段</w:t>
      </w:r>
    </w:p>
    <w:p w14:paraId="30FA3DF8"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2024年，起草组系统调研了东北苏打盐碱地大豆种植现状，走访种植大户、合作社及农技推广部门，收集土壤理化性质、耕作制度、灌溉条件等基础资料；同时检索国内外盐碱地大豆栽培及浅埋滴灌相关标准与技术文献，重点分析了DB15/T 2441—2021在盐碱地上的适用性局限，明确了制定盐碱地专用技术标准的必要性。</w:t>
      </w:r>
    </w:p>
    <w:p w14:paraId="0B280EE4" w14:textId="77777777" w:rsidR="00511120" w:rsidRDefault="00000000">
      <w:pPr>
        <w:keepNext/>
        <w:spacing w:before="120" w:after="60"/>
        <w:rPr>
          <w:lang w:eastAsia="zh-CN"/>
        </w:rPr>
      </w:pPr>
      <w:r>
        <w:rPr>
          <w:rFonts w:ascii="黑体" w:eastAsia="黑体" w:hAnsi="黑体" w:hint="eastAsia"/>
          <w:b/>
          <w:sz w:val="24"/>
          <w:szCs w:val="24"/>
          <w:lang w:eastAsia="zh-CN"/>
        </w:rPr>
        <w:t>3. 起草与修改阶段</w:t>
      </w:r>
    </w:p>
    <w:p w14:paraId="1ACFF25C" w14:textId="35B8A40D"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2024</w:t>
      </w:r>
      <w:r w:rsidR="003D1EDB">
        <w:rPr>
          <w:rFonts w:ascii="方正仿宋_GB2312" w:eastAsia="方正仿宋_GB2312" w:hAnsi="方正仿宋_GB2312" w:cs="方正仿宋_GB2312" w:hint="eastAsia"/>
          <w:sz w:val="24"/>
          <w:szCs w:val="24"/>
          <w:lang w:eastAsia="zh-CN"/>
        </w:rPr>
        <w:t>-</w:t>
      </w:r>
      <w:r>
        <w:rPr>
          <w:rFonts w:ascii="方正仿宋_GB2312" w:eastAsia="方正仿宋_GB2312" w:hAnsi="方正仿宋_GB2312" w:cs="方正仿宋_GB2312" w:hint="eastAsia"/>
          <w:sz w:val="24"/>
          <w:szCs w:val="24"/>
          <w:lang w:eastAsia="zh-CN"/>
        </w:rPr>
        <w:t>202</w:t>
      </w:r>
      <w:r w:rsidR="003D1EDB">
        <w:rPr>
          <w:rFonts w:ascii="方正仿宋_GB2312" w:eastAsia="方正仿宋_GB2312" w:hAnsi="方正仿宋_GB2312" w:cs="方正仿宋_GB2312" w:hint="eastAsia"/>
          <w:sz w:val="24"/>
          <w:szCs w:val="24"/>
          <w:lang w:eastAsia="zh-CN"/>
        </w:rPr>
        <w:t>5</w:t>
      </w:r>
      <w:r>
        <w:rPr>
          <w:rFonts w:ascii="方正仿宋_GB2312" w:eastAsia="方正仿宋_GB2312" w:hAnsi="方正仿宋_GB2312" w:cs="方正仿宋_GB2312" w:hint="eastAsia"/>
          <w:sz w:val="24"/>
          <w:szCs w:val="24"/>
          <w:lang w:eastAsia="zh-CN"/>
        </w:rPr>
        <w:t>年，起草组在东北苏打盐碱地开展大豆小垄双行浅埋滴灌种植技术试验研究，重点验证了小垄宽度60 cm条件下双行种植的行距配置、滴灌带埋深、种植密度和水肥一体化等关键参数，累计布置密度筛选、滴灌施肥时期、品种适应性等多组田间试验，积累了完整的产量与土壤理化性质数据。</w:t>
      </w:r>
    </w:p>
    <w:p w14:paraId="3691695F" w14:textId="2E562F8E"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在试验研究基础上，起草组参考DB15/T 2441—2021、DB15/T 4134—2025等标准的技术框架，结合盐碱地种植的特殊要求，形成标准工作组讨论稿；</w:t>
      </w:r>
    </w:p>
    <w:p w14:paraId="038432F6" w14:textId="77777777" w:rsidR="00511120" w:rsidRDefault="00000000">
      <w:pPr>
        <w:keepNext/>
        <w:spacing w:before="120" w:after="60"/>
        <w:rPr>
          <w:lang w:eastAsia="zh-CN"/>
        </w:rPr>
      </w:pPr>
      <w:r>
        <w:rPr>
          <w:rFonts w:ascii="黑体" w:eastAsia="黑体" w:hAnsi="黑体" w:hint="eastAsia"/>
          <w:b/>
          <w:sz w:val="24"/>
          <w:szCs w:val="24"/>
          <w:lang w:eastAsia="zh-CN"/>
        </w:rPr>
        <w:t>4. 征求意见与修订阶段</w:t>
      </w:r>
    </w:p>
    <w:p w14:paraId="01A3CBDB" w14:textId="077A685C" w:rsidR="00511120" w:rsidRDefault="00000000" w:rsidP="003D1EDB">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标准征求意见稿送中国植物学会相关专业委员会及行业内专家征求意见，同时向东北地区农技推广、科研教学、种子管理和种植主体等单位发放征求意见函。起草组对反馈意见逐条整理、分析，对涉及技术指标的意见均结合试验数据复核后处理，据此完成征求意见汇总处理表，并形成标准送审稿。</w:t>
      </w:r>
    </w:p>
    <w:p w14:paraId="03D044CA" w14:textId="77777777" w:rsidR="00511120" w:rsidRDefault="00000000">
      <w:pPr>
        <w:keepNext/>
        <w:spacing w:before="120" w:after="60"/>
        <w:rPr>
          <w:lang w:eastAsia="zh-CN"/>
        </w:rPr>
      </w:pPr>
      <w:r>
        <w:rPr>
          <w:rFonts w:ascii="黑体" w:eastAsia="黑体" w:hAnsi="黑体" w:hint="eastAsia"/>
          <w:b/>
          <w:sz w:val="24"/>
          <w:szCs w:val="24"/>
          <w:lang w:eastAsia="zh-CN"/>
        </w:rPr>
        <w:lastRenderedPageBreak/>
        <w:t>5. 审定与发布阶段</w:t>
      </w:r>
    </w:p>
    <w:p w14:paraId="67EB9DA6" w14:textId="7E023888" w:rsidR="00511120" w:rsidRDefault="00000000" w:rsidP="003D1EDB">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召开标准审查会，对送审稿的技术内容、条款表述和编写格式进行审查。审查通过后按审查意见修改形成报批稿，报中国植物学会批准发布。发布后补充发布日期、标准编号及发布公告等信息。</w:t>
      </w:r>
    </w:p>
    <w:p w14:paraId="550BCB58" w14:textId="77777777" w:rsidR="00511120" w:rsidRDefault="00000000">
      <w:pPr>
        <w:keepNext/>
        <w:spacing w:before="120" w:after="60"/>
        <w:rPr>
          <w:lang w:eastAsia="zh-CN"/>
        </w:rPr>
      </w:pPr>
      <w:r>
        <w:rPr>
          <w:rFonts w:ascii="黑体" w:eastAsia="黑体" w:hAnsi="黑体" w:hint="eastAsia"/>
          <w:b/>
          <w:sz w:val="24"/>
          <w:szCs w:val="24"/>
          <w:lang w:eastAsia="zh-CN"/>
        </w:rPr>
        <w:t>6. 宣传与推广阶段</w:t>
      </w:r>
    </w:p>
    <w:p w14:paraId="4084C7FC"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标准发布实施后，按照《中国植物学会团体标准管理办法》的有关规定，联合东北地区农业技术推广部门开展标准宣贯与试点应用，试点范围覆盖东北苏打盐碱地大豆主要种植县（旗），并通过技术手册、现场观摩、田间学校等形式推动标准落地，促进盐碱地大豆产业健康发展。</w:t>
      </w:r>
    </w:p>
    <w:p w14:paraId="40F8E04B" w14:textId="77777777" w:rsidR="00511120" w:rsidRDefault="00000000">
      <w:pPr>
        <w:pStyle w:val="Heading2"/>
        <w:spacing w:before="180" w:after="90" w:line="360" w:lineRule="auto"/>
        <w:rPr>
          <w:rFonts w:ascii="黑体" w:hAnsi="黑体" w:cs="黑体"/>
          <w:sz w:val="24"/>
          <w:szCs w:val="24"/>
        </w:rPr>
      </w:pPr>
      <w:bookmarkStart w:id="5" w:name="_Toc243314990"/>
      <w:proofErr w:type="spellStart"/>
      <w:r>
        <w:rPr>
          <w:rFonts w:ascii="黑体" w:hAnsi="黑体" w:cs="黑体" w:hint="eastAsia"/>
          <w:sz w:val="24"/>
          <w:szCs w:val="24"/>
        </w:rPr>
        <w:t>制标任务分工</w:t>
      </w:r>
      <w:bookmarkEnd w:id="5"/>
      <w:proofErr w:type="spellEnd"/>
    </w:p>
    <w:p w14:paraId="26C17D9B"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本文件由中国科学院东北地理与农业生态研究所农业技术中心牵头，负责标准总体框架设计、技术路线确定、试验数据汇总与文本统稿；东北农业大学负责耐盐碱品种筛选、抗逆栽培机理研究与田间管理条款编写；吉林省农业科学院负责种植密度与水肥管理试验及相关条款验证；兴安盟农牧科学研究所负责验证点试验实施与数据采集；内蒙古民族大学负责盐碱地土壤改良、排盐排涝措施论证。主要起草人及分工见表1。</w:t>
      </w:r>
    </w:p>
    <w:p w14:paraId="67FC6D69" w14:textId="77777777" w:rsidR="00511120" w:rsidRDefault="00000000">
      <w:pPr>
        <w:keepNext/>
        <w:spacing w:before="60" w:after="60"/>
        <w:jc w:val="center"/>
        <w:rPr>
          <w:lang w:eastAsia="zh-CN"/>
        </w:rPr>
      </w:pPr>
      <w:r>
        <w:rPr>
          <w:rFonts w:hint="eastAsia"/>
          <w:lang w:eastAsia="zh-CN"/>
        </w:rPr>
        <w:t>表1  标准起草单位和起草人任务分工</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3175"/>
        <w:gridCol w:w="3742"/>
      </w:tblGrid>
      <w:tr w:rsidR="00511120" w14:paraId="73A0193B" w14:textId="77777777">
        <w:trPr>
          <w:tblHeader/>
          <w:jc w:val="center"/>
        </w:trPr>
        <w:tc>
          <w:tcPr>
            <w:tcW w:w="1247" w:type="dxa"/>
            <w:vAlign w:val="center"/>
          </w:tcPr>
          <w:p w14:paraId="59FE47A2" w14:textId="77777777" w:rsidR="00511120" w:rsidRDefault="00000000">
            <w:pPr>
              <w:spacing w:before="20" w:after="20"/>
              <w:jc w:val="center"/>
            </w:pPr>
            <w:r>
              <w:rPr>
                <w:rFonts w:hint="eastAsia"/>
                <w:b/>
              </w:rPr>
              <w:t>姓　名</w:t>
            </w:r>
          </w:p>
        </w:tc>
        <w:tc>
          <w:tcPr>
            <w:tcW w:w="3175" w:type="dxa"/>
            <w:vAlign w:val="center"/>
          </w:tcPr>
          <w:p w14:paraId="0B0F00AD" w14:textId="77777777" w:rsidR="00511120" w:rsidRDefault="00000000">
            <w:pPr>
              <w:spacing w:before="20" w:after="20"/>
              <w:jc w:val="center"/>
            </w:pPr>
            <w:r>
              <w:rPr>
                <w:rFonts w:hint="eastAsia"/>
                <w:b/>
              </w:rPr>
              <w:t>单　位</w:t>
            </w:r>
          </w:p>
        </w:tc>
        <w:tc>
          <w:tcPr>
            <w:tcW w:w="3742" w:type="dxa"/>
            <w:vAlign w:val="center"/>
          </w:tcPr>
          <w:p w14:paraId="599992C3" w14:textId="77777777" w:rsidR="00511120" w:rsidRDefault="00000000">
            <w:pPr>
              <w:spacing w:before="20" w:after="20"/>
              <w:jc w:val="center"/>
            </w:pPr>
            <w:proofErr w:type="spellStart"/>
            <w:r>
              <w:rPr>
                <w:rFonts w:hint="eastAsia"/>
                <w:b/>
              </w:rPr>
              <w:t>承担工作</w:t>
            </w:r>
            <w:proofErr w:type="spellEnd"/>
          </w:p>
        </w:tc>
      </w:tr>
      <w:tr w:rsidR="00511120" w14:paraId="7D6F07C6" w14:textId="77777777">
        <w:trPr>
          <w:jc w:val="center"/>
        </w:trPr>
        <w:tc>
          <w:tcPr>
            <w:tcW w:w="1247" w:type="dxa"/>
            <w:vAlign w:val="center"/>
          </w:tcPr>
          <w:p w14:paraId="5FF4D6D5" w14:textId="77777777" w:rsidR="00511120" w:rsidRDefault="00000000">
            <w:pPr>
              <w:spacing w:before="20" w:after="20"/>
              <w:jc w:val="center"/>
            </w:pPr>
            <w:proofErr w:type="spellStart"/>
            <w:r>
              <w:rPr>
                <w:rFonts w:hint="eastAsia"/>
              </w:rPr>
              <w:t>孟凡立</w:t>
            </w:r>
            <w:proofErr w:type="spellEnd"/>
          </w:p>
        </w:tc>
        <w:tc>
          <w:tcPr>
            <w:tcW w:w="3175" w:type="dxa"/>
            <w:vAlign w:val="center"/>
          </w:tcPr>
          <w:p w14:paraId="4EE28085" w14:textId="77777777" w:rsidR="00511120" w:rsidRDefault="00000000">
            <w:pPr>
              <w:spacing w:before="20" w:after="20"/>
              <w:rPr>
                <w:lang w:eastAsia="zh-CN"/>
              </w:rPr>
            </w:pPr>
            <w:r>
              <w:rPr>
                <w:rFonts w:hint="eastAsia"/>
                <w:lang w:eastAsia="zh-CN"/>
              </w:rPr>
              <w:t>中国科学院东北地理与农业生态研究所农业技术中心</w:t>
            </w:r>
          </w:p>
        </w:tc>
        <w:tc>
          <w:tcPr>
            <w:tcW w:w="3742" w:type="dxa"/>
            <w:vAlign w:val="center"/>
          </w:tcPr>
          <w:p w14:paraId="626951AB" w14:textId="77777777" w:rsidR="00511120" w:rsidRDefault="00000000">
            <w:pPr>
              <w:spacing w:before="20" w:after="20"/>
              <w:rPr>
                <w:lang w:eastAsia="zh-CN"/>
              </w:rPr>
            </w:pPr>
            <w:r>
              <w:rPr>
                <w:rFonts w:hint="eastAsia"/>
                <w:lang w:eastAsia="zh-CN"/>
              </w:rPr>
              <w:t>标准总体框架设计、技术路线确定、文本统稿</w:t>
            </w:r>
          </w:p>
        </w:tc>
      </w:tr>
      <w:tr w:rsidR="00511120" w14:paraId="67BC534D" w14:textId="77777777">
        <w:trPr>
          <w:jc w:val="center"/>
        </w:trPr>
        <w:tc>
          <w:tcPr>
            <w:tcW w:w="1247" w:type="dxa"/>
            <w:vAlign w:val="center"/>
          </w:tcPr>
          <w:p w14:paraId="278A4465" w14:textId="77777777" w:rsidR="00511120" w:rsidRDefault="00000000">
            <w:pPr>
              <w:spacing w:before="20" w:after="20"/>
              <w:jc w:val="center"/>
            </w:pPr>
            <w:proofErr w:type="spellStart"/>
            <w:r>
              <w:rPr>
                <w:rFonts w:hint="eastAsia"/>
              </w:rPr>
              <w:t>杨明宇</w:t>
            </w:r>
            <w:proofErr w:type="spellEnd"/>
          </w:p>
        </w:tc>
        <w:tc>
          <w:tcPr>
            <w:tcW w:w="3175" w:type="dxa"/>
            <w:vAlign w:val="center"/>
          </w:tcPr>
          <w:p w14:paraId="7E6EAE21" w14:textId="77777777" w:rsidR="00511120" w:rsidRDefault="00000000">
            <w:pPr>
              <w:spacing w:before="20" w:after="20"/>
              <w:rPr>
                <w:lang w:eastAsia="zh-CN"/>
              </w:rPr>
            </w:pPr>
            <w:r>
              <w:rPr>
                <w:rFonts w:hint="eastAsia"/>
                <w:lang w:eastAsia="zh-CN"/>
              </w:rPr>
              <w:t>中国科学院东北地理与农业生态研究所农业技术中心</w:t>
            </w:r>
          </w:p>
        </w:tc>
        <w:tc>
          <w:tcPr>
            <w:tcW w:w="3742" w:type="dxa"/>
            <w:vAlign w:val="center"/>
          </w:tcPr>
          <w:p w14:paraId="771B2737" w14:textId="77777777" w:rsidR="00511120" w:rsidRDefault="00000000">
            <w:pPr>
              <w:spacing w:before="20" w:after="20"/>
              <w:rPr>
                <w:lang w:eastAsia="zh-CN"/>
              </w:rPr>
            </w:pPr>
            <w:r>
              <w:rPr>
                <w:rFonts w:hint="eastAsia"/>
                <w:lang w:eastAsia="zh-CN"/>
              </w:rPr>
              <w:t>选地与整地、播种部分技术研究与条文编写</w:t>
            </w:r>
          </w:p>
        </w:tc>
      </w:tr>
      <w:tr w:rsidR="00511120" w14:paraId="38AEBF9A" w14:textId="77777777">
        <w:trPr>
          <w:jc w:val="center"/>
        </w:trPr>
        <w:tc>
          <w:tcPr>
            <w:tcW w:w="1247" w:type="dxa"/>
            <w:vAlign w:val="center"/>
          </w:tcPr>
          <w:p w14:paraId="3ED4A796" w14:textId="77777777" w:rsidR="00511120" w:rsidRDefault="00000000">
            <w:pPr>
              <w:spacing w:before="20" w:after="20"/>
              <w:jc w:val="center"/>
            </w:pPr>
            <w:r>
              <w:rPr>
                <w:rFonts w:hint="eastAsia"/>
              </w:rPr>
              <w:t>李　洋</w:t>
            </w:r>
          </w:p>
        </w:tc>
        <w:tc>
          <w:tcPr>
            <w:tcW w:w="3175" w:type="dxa"/>
            <w:vAlign w:val="center"/>
          </w:tcPr>
          <w:p w14:paraId="7F2DED92" w14:textId="77777777" w:rsidR="00511120" w:rsidRDefault="00000000">
            <w:pPr>
              <w:spacing w:before="20" w:after="20"/>
              <w:rPr>
                <w:lang w:eastAsia="zh-CN"/>
              </w:rPr>
            </w:pPr>
            <w:r>
              <w:rPr>
                <w:rFonts w:hint="eastAsia"/>
                <w:lang w:eastAsia="zh-CN"/>
              </w:rPr>
              <w:t>中国科学院东北地理与农业生态研究所农业技术中心</w:t>
            </w:r>
          </w:p>
        </w:tc>
        <w:tc>
          <w:tcPr>
            <w:tcW w:w="3742" w:type="dxa"/>
            <w:vAlign w:val="center"/>
          </w:tcPr>
          <w:p w14:paraId="1FFFF034" w14:textId="77777777" w:rsidR="00511120" w:rsidRDefault="00000000">
            <w:pPr>
              <w:spacing w:before="20" w:after="20"/>
              <w:rPr>
                <w:lang w:eastAsia="zh-CN"/>
              </w:rPr>
            </w:pPr>
            <w:r>
              <w:rPr>
                <w:rFonts w:hint="eastAsia"/>
                <w:lang w:eastAsia="zh-CN"/>
              </w:rPr>
              <w:t>滴灌管网铺设、水肥管理部分技术研究与条文编写</w:t>
            </w:r>
          </w:p>
        </w:tc>
      </w:tr>
      <w:tr w:rsidR="00511120" w14:paraId="6E59FA4E" w14:textId="77777777">
        <w:trPr>
          <w:jc w:val="center"/>
        </w:trPr>
        <w:tc>
          <w:tcPr>
            <w:tcW w:w="1247" w:type="dxa"/>
            <w:vAlign w:val="center"/>
          </w:tcPr>
          <w:p w14:paraId="22F94014" w14:textId="77777777" w:rsidR="00511120" w:rsidRDefault="00000000">
            <w:pPr>
              <w:spacing w:before="20" w:after="20"/>
              <w:jc w:val="center"/>
            </w:pPr>
            <w:proofErr w:type="spellStart"/>
            <w:r>
              <w:rPr>
                <w:rFonts w:hint="eastAsia"/>
              </w:rPr>
              <w:t>郑宇宏</w:t>
            </w:r>
            <w:proofErr w:type="spellEnd"/>
          </w:p>
        </w:tc>
        <w:tc>
          <w:tcPr>
            <w:tcW w:w="3175" w:type="dxa"/>
            <w:vAlign w:val="center"/>
          </w:tcPr>
          <w:p w14:paraId="4F1BFD88" w14:textId="77777777" w:rsidR="00511120" w:rsidRDefault="00000000">
            <w:pPr>
              <w:spacing w:before="20" w:after="20"/>
            </w:pPr>
            <w:proofErr w:type="spellStart"/>
            <w:r>
              <w:rPr>
                <w:rFonts w:hint="eastAsia"/>
              </w:rPr>
              <w:t>吉林省农业科学院</w:t>
            </w:r>
            <w:proofErr w:type="spellEnd"/>
          </w:p>
        </w:tc>
        <w:tc>
          <w:tcPr>
            <w:tcW w:w="3742" w:type="dxa"/>
            <w:vAlign w:val="center"/>
          </w:tcPr>
          <w:p w14:paraId="7FDA2212" w14:textId="77777777" w:rsidR="00511120" w:rsidRDefault="00000000">
            <w:pPr>
              <w:spacing w:before="20" w:after="20"/>
              <w:rPr>
                <w:lang w:eastAsia="zh-CN"/>
              </w:rPr>
            </w:pPr>
            <w:r>
              <w:rPr>
                <w:rFonts w:hint="eastAsia"/>
                <w:lang w:eastAsia="zh-CN"/>
              </w:rPr>
              <w:t>种植密度与滴灌施肥试验、相关条款验证</w:t>
            </w:r>
          </w:p>
        </w:tc>
      </w:tr>
      <w:tr w:rsidR="00511120" w14:paraId="4CBCED23" w14:textId="77777777">
        <w:trPr>
          <w:jc w:val="center"/>
        </w:trPr>
        <w:tc>
          <w:tcPr>
            <w:tcW w:w="1247" w:type="dxa"/>
            <w:vAlign w:val="center"/>
          </w:tcPr>
          <w:p w14:paraId="0CE48696" w14:textId="77777777" w:rsidR="00511120" w:rsidRDefault="00000000">
            <w:pPr>
              <w:spacing w:before="20" w:after="20"/>
              <w:jc w:val="center"/>
            </w:pPr>
            <w:proofErr w:type="spellStart"/>
            <w:r>
              <w:rPr>
                <w:rFonts w:hint="eastAsia"/>
              </w:rPr>
              <w:t>尹小建</w:t>
            </w:r>
            <w:proofErr w:type="spellEnd"/>
          </w:p>
        </w:tc>
        <w:tc>
          <w:tcPr>
            <w:tcW w:w="3175" w:type="dxa"/>
            <w:vAlign w:val="center"/>
          </w:tcPr>
          <w:p w14:paraId="360BF2E6" w14:textId="77777777" w:rsidR="00511120" w:rsidRDefault="00000000">
            <w:pPr>
              <w:spacing w:before="20" w:after="20"/>
              <w:rPr>
                <w:lang w:eastAsia="zh-CN"/>
              </w:rPr>
            </w:pPr>
            <w:r>
              <w:rPr>
                <w:rFonts w:hint="eastAsia"/>
                <w:lang w:eastAsia="zh-CN"/>
              </w:rPr>
              <w:t>中国科学院东北地理与农业生态研究所农业技术中心</w:t>
            </w:r>
          </w:p>
        </w:tc>
        <w:tc>
          <w:tcPr>
            <w:tcW w:w="3742" w:type="dxa"/>
            <w:vAlign w:val="center"/>
          </w:tcPr>
          <w:p w14:paraId="03722332" w14:textId="77777777" w:rsidR="00511120" w:rsidRDefault="00000000">
            <w:pPr>
              <w:spacing w:before="20" w:after="20"/>
              <w:rPr>
                <w:lang w:eastAsia="zh-CN"/>
              </w:rPr>
            </w:pPr>
            <w:r>
              <w:rPr>
                <w:rFonts w:hint="eastAsia"/>
                <w:lang w:eastAsia="zh-CN"/>
              </w:rPr>
              <w:t>田间试验数据汇总、收获与生产档案条款编写</w:t>
            </w:r>
          </w:p>
        </w:tc>
      </w:tr>
      <w:tr w:rsidR="00511120" w14:paraId="1C5AB2BB" w14:textId="77777777">
        <w:trPr>
          <w:jc w:val="center"/>
        </w:trPr>
        <w:tc>
          <w:tcPr>
            <w:tcW w:w="1247" w:type="dxa"/>
            <w:vAlign w:val="center"/>
          </w:tcPr>
          <w:p w14:paraId="06E2257F" w14:textId="77777777" w:rsidR="00511120" w:rsidRDefault="00000000">
            <w:pPr>
              <w:spacing w:before="20" w:after="20"/>
              <w:jc w:val="center"/>
            </w:pPr>
            <w:proofErr w:type="spellStart"/>
            <w:r>
              <w:rPr>
                <w:rFonts w:hint="eastAsia"/>
              </w:rPr>
              <w:lastRenderedPageBreak/>
              <w:t>张小明</w:t>
            </w:r>
            <w:proofErr w:type="spellEnd"/>
          </w:p>
        </w:tc>
        <w:tc>
          <w:tcPr>
            <w:tcW w:w="3175" w:type="dxa"/>
            <w:vAlign w:val="center"/>
          </w:tcPr>
          <w:p w14:paraId="2CC51B15" w14:textId="77777777" w:rsidR="00511120" w:rsidRDefault="00000000">
            <w:pPr>
              <w:spacing w:before="20" w:after="20"/>
            </w:pPr>
            <w:proofErr w:type="spellStart"/>
            <w:r>
              <w:rPr>
                <w:rFonts w:hint="eastAsia"/>
              </w:rPr>
              <w:t>东北农业大学</w:t>
            </w:r>
            <w:proofErr w:type="spellEnd"/>
          </w:p>
        </w:tc>
        <w:tc>
          <w:tcPr>
            <w:tcW w:w="3742" w:type="dxa"/>
            <w:vAlign w:val="center"/>
          </w:tcPr>
          <w:p w14:paraId="20ACB2F9" w14:textId="77777777" w:rsidR="00511120" w:rsidRDefault="00000000">
            <w:pPr>
              <w:spacing w:before="20" w:after="20"/>
              <w:rPr>
                <w:lang w:eastAsia="zh-CN"/>
              </w:rPr>
            </w:pPr>
            <w:r>
              <w:rPr>
                <w:rFonts w:hint="eastAsia"/>
                <w:lang w:eastAsia="zh-CN"/>
              </w:rPr>
              <w:t>耐盐碱品种筛选、抗逆栽培机理研究及田间管理条款编写</w:t>
            </w:r>
          </w:p>
        </w:tc>
      </w:tr>
      <w:tr w:rsidR="00511120" w14:paraId="07ED4F70" w14:textId="77777777">
        <w:trPr>
          <w:jc w:val="center"/>
        </w:trPr>
        <w:tc>
          <w:tcPr>
            <w:tcW w:w="1247" w:type="dxa"/>
            <w:vAlign w:val="center"/>
          </w:tcPr>
          <w:p w14:paraId="5E877338" w14:textId="77777777" w:rsidR="00511120" w:rsidRDefault="00000000">
            <w:pPr>
              <w:spacing w:before="20" w:after="20"/>
              <w:jc w:val="center"/>
            </w:pPr>
            <w:proofErr w:type="spellStart"/>
            <w:r>
              <w:rPr>
                <w:rFonts w:hint="eastAsia"/>
              </w:rPr>
              <w:t>黄利春</w:t>
            </w:r>
            <w:proofErr w:type="spellEnd"/>
          </w:p>
        </w:tc>
        <w:tc>
          <w:tcPr>
            <w:tcW w:w="3175" w:type="dxa"/>
            <w:vAlign w:val="center"/>
          </w:tcPr>
          <w:p w14:paraId="0D5C0988" w14:textId="77777777" w:rsidR="00511120" w:rsidRDefault="00000000">
            <w:pPr>
              <w:spacing w:before="20" w:after="20"/>
              <w:rPr>
                <w:lang w:eastAsia="zh-CN"/>
              </w:rPr>
            </w:pPr>
            <w:r>
              <w:rPr>
                <w:rFonts w:hint="eastAsia"/>
                <w:lang w:eastAsia="zh-CN"/>
              </w:rPr>
              <w:t>兴安盟农牧科学研究所</w:t>
            </w:r>
          </w:p>
        </w:tc>
        <w:tc>
          <w:tcPr>
            <w:tcW w:w="3742" w:type="dxa"/>
            <w:vAlign w:val="center"/>
          </w:tcPr>
          <w:p w14:paraId="1EE6663F" w14:textId="77777777" w:rsidR="00511120" w:rsidRDefault="00000000">
            <w:pPr>
              <w:spacing w:before="20" w:after="20"/>
              <w:rPr>
                <w:lang w:eastAsia="zh-CN"/>
              </w:rPr>
            </w:pPr>
            <w:r>
              <w:rPr>
                <w:rFonts w:hint="eastAsia"/>
                <w:lang w:eastAsia="zh-CN"/>
              </w:rPr>
              <w:t>验证点试验实施、田间数据采集与整理</w:t>
            </w:r>
          </w:p>
        </w:tc>
      </w:tr>
      <w:tr w:rsidR="00511120" w14:paraId="462442CB" w14:textId="77777777">
        <w:trPr>
          <w:jc w:val="center"/>
        </w:trPr>
        <w:tc>
          <w:tcPr>
            <w:tcW w:w="1247" w:type="dxa"/>
            <w:vAlign w:val="center"/>
          </w:tcPr>
          <w:p w14:paraId="360D3948" w14:textId="77777777" w:rsidR="00511120" w:rsidRDefault="00000000">
            <w:pPr>
              <w:spacing w:before="20" w:after="20"/>
              <w:jc w:val="center"/>
            </w:pPr>
            <w:r>
              <w:rPr>
                <w:rFonts w:hint="eastAsia"/>
              </w:rPr>
              <w:t>刘　鹏</w:t>
            </w:r>
          </w:p>
        </w:tc>
        <w:tc>
          <w:tcPr>
            <w:tcW w:w="3175" w:type="dxa"/>
            <w:vAlign w:val="center"/>
          </w:tcPr>
          <w:p w14:paraId="345B3E79" w14:textId="77777777" w:rsidR="00511120" w:rsidRDefault="00000000">
            <w:pPr>
              <w:spacing w:before="20" w:after="20"/>
            </w:pPr>
            <w:proofErr w:type="spellStart"/>
            <w:r>
              <w:rPr>
                <w:rFonts w:hint="eastAsia"/>
              </w:rPr>
              <w:t>内蒙古民族大学</w:t>
            </w:r>
            <w:proofErr w:type="spellEnd"/>
          </w:p>
        </w:tc>
        <w:tc>
          <w:tcPr>
            <w:tcW w:w="3742" w:type="dxa"/>
            <w:vAlign w:val="center"/>
          </w:tcPr>
          <w:p w14:paraId="2B786E17" w14:textId="77777777" w:rsidR="00511120" w:rsidRDefault="00000000">
            <w:pPr>
              <w:spacing w:before="20" w:after="20"/>
              <w:rPr>
                <w:lang w:eastAsia="zh-CN"/>
              </w:rPr>
            </w:pPr>
            <w:r>
              <w:rPr>
                <w:rFonts w:hint="eastAsia"/>
                <w:lang w:eastAsia="zh-CN"/>
              </w:rPr>
              <w:t>盐碱地土壤改良、排盐排涝措施论证</w:t>
            </w:r>
          </w:p>
        </w:tc>
      </w:tr>
    </w:tbl>
    <w:p w14:paraId="782348CC" w14:textId="77777777" w:rsidR="00511120" w:rsidRDefault="00511120">
      <w:pPr>
        <w:rPr>
          <w:lang w:eastAsia="zh-CN"/>
        </w:rPr>
      </w:pPr>
    </w:p>
    <w:p w14:paraId="7CACBF41" w14:textId="77777777" w:rsidR="00511120" w:rsidRDefault="00000000">
      <w:pPr>
        <w:pStyle w:val="Heading1"/>
        <w:spacing w:before="240" w:after="120" w:line="360" w:lineRule="auto"/>
        <w:rPr>
          <w:rFonts w:ascii="黑体" w:eastAsia="黑体" w:hAnsi="黑体" w:cs="黑体"/>
          <w:sz w:val="28"/>
          <w:szCs w:val="28"/>
          <w:lang w:eastAsia="zh-CN"/>
        </w:rPr>
      </w:pPr>
      <w:bookmarkStart w:id="6" w:name="_Toc243314991"/>
      <w:r>
        <w:rPr>
          <w:rFonts w:ascii="黑体" w:eastAsia="黑体" w:hAnsi="黑体" w:cs="黑体" w:hint="eastAsia"/>
          <w:sz w:val="28"/>
          <w:szCs w:val="28"/>
          <w:lang w:eastAsia="zh-CN"/>
        </w:rPr>
        <w:t>标准编制原则、主要内容及其确定依据</w:t>
      </w:r>
      <w:bookmarkEnd w:id="6"/>
    </w:p>
    <w:p w14:paraId="0A321847" w14:textId="77777777" w:rsidR="00511120" w:rsidRDefault="00000000">
      <w:pPr>
        <w:pStyle w:val="Heading2"/>
        <w:spacing w:before="180" w:after="90" w:line="360" w:lineRule="auto"/>
        <w:rPr>
          <w:rFonts w:ascii="黑体" w:hAnsi="黑体" w:cs="黑体"/>
          <w:sz w:val="24"/>
          <w:szCs w:val="24"/>
        </w:rPr>
      </w:pPr>
      <w:bookmarkStart w:id="7" w:name="_Toc243314992"/>
      <w:proofErr w:type="spellStart"/>
      <w:r>
        <w:rPr>
          <w:rFonts w:ascii="黑体" w:hAnsi="黑体" w:cs="黑体" w:hint="eastAsia"/>
          <w:sz w:val="24"/>
          <w:szCs w:val="24"/>
        </w:rPr>
        <w:t>编制原则</w:t>
      </w:r>
      <w:bookmarkEnd w:id="7"/>
      <w:proofErr w:type="spellEnd"/>
    </w:p>
    <w:p w14:paraId="3EDA126B"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1. 科学性原则。标准中的技术参数和指标均基于田间试验数据和已有研究成果，每个关键指标的确定均有试验依据或文献支撑，确保技术内容的科学性和可靠性。</w:t>
      </w:r>
    </w:p>
    <w:p w14:paraId="4F01564E"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2. 实用性原则。条文表述力求简明扼要、可操作性强，参数以区间形式给出并配套适用条件说明，便于农业技术推广人员和种植户理解与应用。</w:t>
      </w:r>
    </w:p>
    <w:p w14:paraId="0158DA76"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3. 协调性原则。标准编写遵循GB/T 1.1—2020的规定，整体技术框架与现行大豆栽培技术规程类标准保持一致，仅对本文件特有的参数作出规定；规范性引用文件均为现行有效版本，与DB15/T 2441—2021在通用技术环节上相互衔接，避免矛盾与重复。</w:t>
      </w:r>
    </w:p>
    <w:p w14:paraId="48C19877"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4. 针对性原则。针对苏打盐碱地土壤pH高、盐分表聚、磷素有效性低、春季低温干旱、易发内涝等特殊问题，设置选地、整地、排盐排涝、有机培肥、芦苇防除等针对性技术措施。</w:t>
      </w:r>
    </w:p>
    <w:p w14:paraId="4602DE87" w14:textId="77777777" w:rsidR="00511120" w:rsidRDefault="00000000">
      <w:pPr>
        <w:pStyle w:val="Heading2"/>
        <w:spacing w:before="180" w:after="90" w:line="360" w:lineRule="auto"/>
        <w:rPr>
          <w:rFonts w:ascii="黑体" w:hAnsi="黑体" w:cs="黑体"/>
          <w:sz w:val="24"/>
          <w:szCs w:val="24"/>
        </w:rPr>
      </w:pPr>
      <w:bookmarkStart w:id="8" w:name="_Toc243314993"/>
      <w:proofErr w:type="spellStart"/>
      <w:r>
        <w:rPr>
          <w:rFonts w:ascii="黑体" w:hAnsi="黑体" w:cs="黑体" w:hint="eastAsia"/>
          <w:sz w:val="24"/>
          <w:szCs w:val="24"/>
        </w:rPr>
        <w:t>主要内容及确定依据</w:t>
      </w:r>
      <w:bookmarkEnd w:id="8"/>
      <w:proofErr w:type="spellEnd"/>
    </w:p>
    <w:p w14:paraId="771FC96A"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本文件规定了苏打盐碱地大豆小垄双行浅埋滴灌种植技术的选地与整地、滴灌管网铺设、种子准备、播种、水肥管理、田间管理、病虫草害防治、收获和生</w:t>
      </w:r>
      <w:r>
        <w:rPr>
          <w:rFonts w:ascii="方正仿宋_GB2312" w:eastAsia="方正仿宋_GB2312" w:hAnsi="方正仿宋_GB2312" w:cs="方正仿宋_GB2312" w:hint="eastAsia"/>
          <w:sz w:val="24"/>
          <w:szCs w:val="24"/>
          <w:lang w:eastAsia="zh-CN"/>
        </w:rPr>
        <w:lastRenderedPageBreak/>
        <w:t>产档案等技术要求，适用于苏打盐碱地大豆的种植，其他生态条件相近的盐碱地可参照执行。主要技术内容及其确定依据如下。</w:t>
      </w:r>
    </w:p>
    <w:p w14:paraId="197EE8B0" w14:textId="77777777" w:rsidR="00511120" w:rsidRDefault="00000000">
      <w:pPr>
        <w:keepNext/>
        <w:spacing w:before="120" w:after="60"/>
        <w:rPr>
          <w:lang w:eastAsia="zh-CN"/>
        </w:rPr>
      </w:pPr>
      <w:r>
        <w:rPr>
          <w:rFonts w:ascii="黑体" w:eastAsia="黑体" w:hAnsi="黑体" w:hint="eastAsia"/>
          <w:b/>
          <w:sz w:val="24"/>
          <w:szCs w:val="24"/>
          <w:lang w:eastAsia="zh-CN"/>
        </w:rPr>
        <w:t>1. 小垄双行种植模式</w:t>
      </w:r>
    </w:p>
    <w:p w14:paraId="34B1611C"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本文件采用垄宽60 cm的小垄、垄上种植2行大豆、行距15 cm～20 cm的种植模式，垄高15 cm～20 cm、垄顶宽30 cm～40 cm，滴灌带沿播种行铺埋于2行中间。该模式与DB15/T 2441—2021采用的大垄密植模式（垄宽110 cm、垄上4行）不同，主要基于以下考虑：苏打盐碱地土壤紧实、通透性差，小垄垄体窄、受光面大，有利于提高地温、促进出苗；小垄起垄同时也是盐碱地排水抗涝的措施，垄沟可为春季融雪和夏季降雨提供排水通道；垄上双行行距较窄，配合增密缩距，可使大豆群体冠层快速封垄，减少土壤水分蒸发，抑制盐分表聚。</w:t>
      </w:r>
    </w:p>
    <w:p w14:paraId="13E7395B"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关于配套机具，本文件所采用的小垄双行模式以中小型精量播种机、铺管播种一体机作业为主，垄顶宽30 cm～40 cm、行距15 cm～20 cm的规格与现有小垄免耕播种机、铺管播种一体机的作业幅宽相匹配，可一次完成播种、铺管、覆土、镇压作业。考虑到大规模推广时对大型机械作业的适应性要求，本文件在附录A中对不同盐碱程度地块的密度与种植要点作出分区规定，并允许各地结合机具条件在行距区间内调整；后续修订时将结合大型精量播种机的作业验证结果进一步完善垄型和行距配置。</w:t>
      </w:r>
    </w:p>
    <w:p w14:paraId="289004CB" w14:textId="77777777" w:rsidR="00511120" w:rsidRDefault="00000000">
      <w:pPr>
        <w:keepNext/>
        <w:spacing w:before="120" w:after="60"/>
        <w:rPr>
          <w:lang w:eastAsia="zh-CN"/>
        </w:rPr>
      </w:pPr>
      <w:r>
        <w:rPr>
          <w:rFonts w:ascii="黑体" w:eastAsia="黑体" w:hAnsi="黑体" w:hint="eastAsia"/>
          <w:b/>
          <w:sz w:val="24"/>
          <w:szCs w:val="24"/>
          <w:lang w:eastAsia="zh-CN"/>
        </w:rPr>
        <w:t>2. 滴灌带埋深2 cm～4 cm及行间铺设</w:t>
      </w:r>
    </w:p>
    <w:p w14:paraId="3814A415"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本文件规定滴灌带铺埋于两行大豆中间、地表以下2 cm～4 cm处。该深度的确定依据是：滴灌带埋设深度直接决定水分和盐分在土壤剖面中的分布格局，过浅（1 cm以下）虽有利于种子萌发期供水，但易受春季大风影响、水分蒸发</w:t>
      </w:r>
      <w:r>
        <w:rPr>
          <w:rFonts w:ascii="方正仿宋_GB2312" w:eastAsia="方正仿宋_GB2312" w:hAnsi="方正仿宋_GB2312" w:cs="方正仿宋_GB2312" w:hint="eastAsia"/>
          <w:sz w:val="24"/>
          <w:szCs w:val="24"/>
          <w:lang w:eastAsia="zh-CN"/>
        </w:rPr>
        <w:lastRenderedPageBreak/>
        <w:t>损失大，盐分在表层聚集风险高；过深则湿润锋难以到达播种层（播种深度3 cm～4 cm），出苗期供水不足，且盐分淋洗局限于深层，对种子和苗期根系的降盐压碱作用有限。2 cm～4 cm使滴灌带处于播种层与根系主要分布层的交界位置，滴水后湿润锋可向上覆盖种子萌发区、向下延伸至根层，兼顾出苗供水与根区盐分淋洗。</w:t>
      </w:r>
    </w:p>
    <w:p w14:paraId="0AE78649"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地下滴灌水盐运移研究表明，土壤水分随湿润锋运移距离增加而减小、土壤盐分随湿润锋运移距离增加而增加，适当增加滴头埋深可扩大湿润体范围、提高脱盐区脱盐率；但大豆播种深度一般为3 cm～4 cm，埋深超过4 cm将降低出苗期滴灌水向上运移至播种层的效率。因此将埋深上限定为4 cm，是在出苗供水保障与根区盐分淋洗之间的平衡选择。</w:t>
      </w:r>
    </w:p>
    <w:p w14:paraId="6F174B06"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滴灌带铺设于两行中间，核心作用是在种子和根系周围建立低盐微环境。滴灌连续微量供水可在滴头周围形成盐分淡化区，将可溶性盐离子向湿润锋外围推移；将滴灌带置于两行中间，等于在大豆根系向两侧扩展的区域预置低盐土层，减轻盐胁迫对根系伸长和侧根发生的抑制。同时，行间铺设实现“一管两行”，使滴灌带与大豆茎基部保持一定距离，避免滴头长时间近距离湿润茎基部诱发根腐病，也有利于根系向行间横向扩展。</w:t>
      </w:r>
    </w:p>
    <w:p w14:paraId="6BA62155" w14:textId="77777777" w:rsidR="00511120" w:rsidRDefault="00000000">
      <w:pPr>
        <w:keepNext/>
        <w:spacing w:before="120" w:after="60"/>
        <w:rPr>
          <w:rFonts w:ascii="黑体" w:eastAsia="黑体" w:hAnsi="黑体" w:cs="黑体"/>
          <w:b/>
          <w:sz w:val="24"/>
          <w:szCs w:val="24"/>
          <w:lang w:eastAsia="zh-CN"/>
        </w:rPr>
      </w:pPr>
      <w:r>
        <w:rPr>
          <w:rFonts w:ascii="黑体" w:eastAsia="黑体" w:hAnsi="黑体" w:cs="黑体" w:hint="eastAsia"/>
          <w:b/>
          <w:sz w:val="24"/>
          <w:szCs w:val="24"/>
          <w:lang w:eastAsia="zh-CN"/>
        </w:rPr>
        <w:t>3. 种植密度33万株/hm²～45万株/hm²及按盐碱程度分区</w:t>
      </w:r>
    </w:p>
    <w:p w14:paraId="5F59B955"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该密度范围基于在东北苏打盐碱地验证点开展的耐盐碱大豆密度试验确定。试验以主推耐盐碱品种吉育303、东生118和东生140为材料，设置21万、33万、41万和51万株/hm²共4个密度处理，系统评估不同密度下大豆生理指标及产量表现。结果表明，不同品种对密度的响应存在显著差异：吉育303在33万株/hm²下光合速率与根瘤数均显著优于其他处理，产量达118.9公斤/亩；</w:t>
      </w:r>
      <w:r>
        <w:rPr>
          <w:rFonts w:ascii="方正仿宋_GB2312" w:eastAsia="方正仿宋_GB2312" w:hAnsi="方正仿宋_GB2312" w:cs="方正仿宋_GB2312" w:hint="eastAsia"/>
          <w:sz w:val="24"/>
          <w:szCs w:val="24"/>
          <w:lang w:eastAsia="zh-CN"/>
        </w:rPr>
        <w:lastRenderedPageBreak/>
        <w:t>东生140在相同密度下单株粒数和根瘤数最高，产量为195.61公斤/亩；东生118在41万株/hm²时叶绿素含量与根瘤数表现最优，产量达209.28公斤/亩，较其推荐密度21万株/hm²（196.60公斤/亩）增产6.4%。</w:t>
      </w:r>
    </w:p>
    <w:p w14:paraId="1027CAAC"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基于上述结果，本文件将播种密度设定为33万株/hm²～45万株/hm²：33万株/hm²满足中早熟品种获得最佳生理表现和产量的密度需求，41万株/hm²是晚熟品种在苏打盐碱地条件下实现最高产量的适宜密度，45万株/hm²的上限为品种间密度适应性差异留出调节空间，同时避免密度过高导致单株发育受限。</w:t>
      </w:r>
    </w:p>
    <w:p w14:paraId="6196E553"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考虑到盐碱程度越高、保苗率越低，本文件进一步按土壤pH值将密度划分为三档：轻度盐碱地（pH 8.5～9.0）33万株/hm²～36万株/hm²，中度盐碱地（pH 9.0～9.5）36万株/hm²～40万株/hm²，重度盐碱地（pH≥9.5）40万株/hm²～45万株/hm²。该分区体现了盐碱地“以密补弱”的技术逻辑：通过提高播种密度补偿盐胁迫造成的出苗和保苗损失，确保有效收获株数；同时增密有利于群体快速封垄、减少蒸发、抑制返盐。不同盐碱程度下的适宜种植密度以资料性附录A给出，便于使用者结合地块实际选择。</w:t>
      </w:r>
    </w:p>
    <w:p w14:paraId="74E88DDF" w14:textId="77777777" w:rsidR="00511120" w:rsidRDefault="00000000">
      <w:pPr>
        <w:keepNext/>
        <w:spacing w:before="120" w:after="60"/>
        <w:rPr>
          <w:lang w:eastAsia="zh-CN"/>
        </w:rPr>
      </w:pPr>
      <w:r>
        <w:rPr>
          <w:rFonts w:ascii="黑体" w:eastAsia="黑体" w:hAnsi="黑体" w:hint="eastAsia"/>
          <w:b/>
          <w:sz w:val="24"/>
          <w:szCs w:val="24"/>
          <w:lang w:eastAsia="zh-CN"/>
        </w:rPr>
        <w:t>4. 水肥管理</w:t>
      </w:r>
    </w:p>
    <w:p w14:paraId="1897935C"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苏打盐碱地磷素有效性较低，适当提高磷肥比例有利于大豆根系发育和养分吸收。本文件规定种肥一般施用复合肥30 kg/667 m²～40 kg/667 m²、氮磷钾比例1:1.2:0.6，配施生物菌肥15 kg/667 m²～20 kg/667 m²，种肥随起垄深施于种侧下方12 cm～15 cm、避免种肥同层，具体肥料品种可按上述养分比例选用当地已登记的产品。提高磷素比例是针对盐碱地土壤高pH条件下磷易被钙、镁固定、有效性低的特性；种肥深施至12 cm～15 cm，可使养分处于根层主要分布区，减少表层盐分对根系吸收的干扰，同时避免种肥同层造成的烧种烧</w:t>
      </w:r>
      <w:r>
        <w:rPr>
          <w:rFonts w:ascii="方正仿宋_GB2312" w:eastAsia="方正仿宋_GB2312" w:hAnsi="方正仿宋_GB2312" w:cs="方正仿宋_GB2312" w:hint="eastAsia"/>
          <w:sz w:val="24"/>
          <w:szCs w:val="24"/>
          <w:lang w:eastAsia="zh-CN"/>
        </w:rPr>
        <w:lastRenderedPageBreak/>
        <w:t>苗。结合整地施入腐熟牛粪2000 kg/667 m²～3000 kg/667 m²或商品有机肥，施用方式参照产品说明，以有机物料培肥耕层、改善土壤结构；中度和重度盐碱地可结合翻地增施酸性肥料或土壤改良剂，用量参照产品说明，以降低土壤pH和碱化度。</w:t>
      </w:r>
    </w:p>
    <w:p w14:paraId="09FCE0E7"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追肥方案的确定基于2025年在验证点开展的滴灌施肥时期试验。该试验针对滴灌条件下不同生育时期施肥对产量贡献不明确的问题，以优化施肥次数、实现节本增效为目标，按大豆生育阶段（苗期、分枝期、开花期、始荚期、鼓粒初期和鼓粒末期）设计滴灌施肥方案，选用有机液体水溶肥、黄腐酸钾与酸性液体肥等肥料，以当地常规平播浅埋滴灌清水为对照（CK），设置7个处理：仅苗期（VE）、苗期+分枝期（VE-V6）、苗期+分枝期+开花期（VE-V6+R1）、苗期+分枝期+开花期+始荚期（VE-V6+R1-R3）、苗期+分枝期+开花期+始荚期+鼓粒初期（VE-V6+R1-R5）及全期施肥（VE-V6+R1-R7）。</w:t>
      </w:r>
    </w:p>
    <w:p w14:paraId="454CC566"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结果表明，VE、VE-V6、VE-V6+R1和VE-V6+R1-R3处理均能显著提升叶片光合速率、株高、百粒重及产量，且产量随施肥次数增加呈上升趋势，其中VE-V6+R1-R3处理效果最佳，东生118亩产达200.36公斤，较CK（127.21公斤/亩）增产约73公斤/亩、增幅58%，每亩增收300元；继续增加中量元素水溶肥、流体钙等的VE-V6+R1-R5与VE-V6+R1-R7处理，产量未进一步提高。据此，本文件将追肥按生育进程确定为苗期至分枝期、初花期、盛花期、结荚期4次，以“减次不减效”实现节本增效。</w:t>
      </w:r>
    </w:p>
    <w:p w14:paraId="2D3DBED6"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灌溉与追肥同步进行，本文件按“少量多次、按需供水”确定滴灌制度：单次滴水量15 m³/667 m²～25 m³/667 m²，以湿润根层土壤、不产生地表径流为宜；播种后墒情不足时及时滴灌20 m³/667 m²～30 m³/667 m²保证出苗，</w:t>
      </w:r>
      <w:r>
        <w:rPr>
          <w:rFonts w:ascii="方正仿宋_GB2312" w:eastAsia="方正仿宋_GB2312" w:hAnsi="方正仿宋_GB2312" w:cs="方正仿宋_GB2312" w:hint="eastAsia"/>
          <w:sz w:val="24"/>
          <w:szCs w:val="24"/>
          <w:lang w:eastAsia="zh-CN"/>
        </w:rPr>
        <w:lastRenderedPageBreak/>
        <w:t>出苗后视墒情滴灌15 m³/667 m²～20 m³/667 m²。该制度既满足大豆各生育阶段的水分需求，又通过持续微量供水维持根区低盐环境。鼓粒初期视长势增施1次～2次叶面肥，可提高源库间养分转运效率、减少花荚脱落，试验中使产量由200.36公斤/亩提高至213.72公斤/亩、增产6.7%。</w:t>
      </w:r>
    </w:p>
    <w:p w14:paraId="34CED6FC" w14:textId="77777777" w:rsidR="00511120" w:rsidRDefault="00000000">
      <w:pPr>
        <w:keepNext/>
        <w:spacing w:before="120" w:after="60"/>
        <w:rPr>
          <w:lang w:eastAsia="zh-CN"/>
        </w:rPr>
      </w:pPr>
      <w:r>
        <w:rPr>
          <w:rFonts w:ascii="黑体" w:eastAsia="黑体" w:hAnsi="黑体" w:hint="eastAsia"/>
          <w:b/>
          <w:sz w:val="24"/>
          <w:szCs w:val="24"/>
          <w:lang w:eastAsia="zh-CN"/>
        </w:rPr>
        <w:t>5. 病虫草害防治</w:t>
      </w:r>
    </w:p>
    <w:p w14:paraId="7E1A40B5"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播后苗前封闭除草采用乙草胺+异噁草松+丙炔氟草胺三元复配制剂，试验中所用配方与已登记的60%丙炔氟草胺·乙草胺·异噁草松可分散油悬浮剂有效成分含量一致；其中乙草胺以防治禾本科杂草为主，丙炔氟草胺以防治阔叶杂草为主，异噁草松可兼防禾本科与阔叶杂草。为便于使用者按登记产品选择，标准正文按“乙草胺+异噁草松+丙炔氟草胺复配制剂”表述，不限定具体制剂含量，用药量与安全间隔期按产品标签和NY/T 1997的规定执行。针对盐碱地芦苇危害较重的问题，苗后茎叶处理增加高效氟吡甲禾灵防除芦苇，按产品登记用量施用。</w:t>
      </w:r>
    </w:p>
    <w:p w14:paraId="503164AD"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病害以大豆疫霉根腐病和灰斑病为重点，疫霉根腐病以种子处理为主，可选用三氟吡啶胺等种衣剂包衣，发病初期选用噻呋酰胺、吡唑醚菌酯或多菌灵灌根；虫害以大豆食心虫和大豆蚜虫为重点，食心虫于成虫盛期至幼虫入荚前选用菊酯类药剂防治，蚜虫于点片发生期选用吡虫啉、噻虫嗪等药剂防治并兼治红蜘蛛。农药选择与使用执行GB/T 8321（所有部分）、GB 12475的规定，除草剂使用执行NY/T 1997的规定，病虫防治执行NY/T 2159的规定。具体药剂品种以产品登记范围和标签为准。</w:t>
      </w:r>
    </w:p>
    <w:p w14:paraId="11F023AE" w14:textId="77777777" w:rsidR="00511120" w:rsidRDefault="00000000">
      <w:pPr>
        <w:keepNext/>
        <w:spacing w:before="120" w:after="60"/>
        <w:rPr>
          <w:lang w:eastAsia="zh-CN"/>
        </w:rPr>
      </w:pPr>
      <w:r>
        <w:rPr>
          <w:rFonts w:ascii="黑体" w:eastAsia="黑体" w:hAnsi="黑体" w:hint="eastAsia"/>
          <w:b/>
          <w:sz w:val="24"/>
          <w:szCs w:val="24"/>
          <w:lang w:eastAsia="zh-CN"/>
        </w:rPr>
        <w:lastRenderedPageBreak/>
        <w:t>6. 整地、排盐排涝与生产档案</w:t>
      </w:r>
    </w:p>
    <w:p w14:paraId="44959417"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盐碱地土壤粘重、通透性差，整地宜在秋季进行，一次作业达到待播状态。秋季整地后土壤经冬季冻融作用，结构疏松、微生物活性恢复，翌春可直接播种，避免春季因土壤过湿或过干造成整地质量下降；春季整地易破坏土壤结构、加剧跑墒和返盐，应尽量避免。因前茬收获过晚或秋季遇雨等原因无法完成秋整地的，可于翌春土壤墒情适宜时进行浅旋或轻耙，不宜深耕。</w:t>
      </w:r>
    </w:p>
    <w:p w14:paraId="395F13F1"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翻地与深松应区分设置并隔年进行：翻地深度20 cm～25 cm、不打破犁底层，其作用是将秸秆、有机肥和土壤调理剂翻入耕层并掩埋，避免将含盐量较高的底土翻至表层；深松深度30 cm～35 cm，其作用是打破犁底层、提高雨水入渗与盐分淋洗效率，深松作业不承担有机物料翻埋功能。二者交替实施，既可培肥耕层，又可逐年改善通透性。</w:t>
      </w:r>
    </w:p>
    <w:p w14:paraId="0F8CD95F"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排水设施应在整地环节同步布设，而非田间管理阶段补充。整地时在田间四周设置排水沟，沟深和沟底宽度根据地块面积和排水出路确定；具备条件的采用暗管排盐，暗管埋深与间距按土壤质地和水文地质条件设计。生育期间及时排除春季融雪和夏季降雨造成的田间积水，防止长期积盐积涝。上述措施针对苏打盐碱地“盐随水来、盐随水去”的水盐运动规律设置，是盐碱地大豆稳产的关键环节，也是本文件区别于普通耕地大豆栽培标准的重要内容。</w:t>
      </w:r>
    </w:p>
    <w:p w14:paraId="297BDCAB"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生产档案要求记录选地、整地、滴灌管网铺设、种子准备、播种、水肥管理、田间管理、病虫草害防治、收获和回收滴灌带等信息，保存不少于2年，以满足质量追溯和技术复盘的需要。</w:t>
      </w:r>
    </w:p>
    <w:p w14:paraId="0FCD46B8" w14:textId="77777777" w:rsidR="00511120" w:rsidRDefault="00000000">
      <w:pPr>
        <w:keepNext/>
        <w:spacing w:before="120" w:after="60"/>
        <w:rPr>
          <w:lang w:eastAsia="zh-CN"/>
        </w:rPr>
      </w:pPr>
      <w:r>
        <w:rPr>
          <w:rFonts w:ascii="黑体" w:eastAsia="黑体" w:hAnsi="黑体" w:hint="eastAsia"/>
          <w:b/>
          <w:sz w:val="24"/>
          <w:szCs w:val="24"/>
          <w:lang w:eastAsia="zh-CN"/>
        </w:rPr>
        <w:t>7. 与DB15/T 2441—2021的主要差异</w:t>
      </w:r>
    </w:p>
    <w:p w14:paraId="511EB5F8"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rPr>
      </w:pPr>
      <w:r>
        <w:rPr>
          <w:rFonts w:ascii="方正仿宋_GB2312" w:eastAsia="方正仿宋_GB2312" w:hAnsi="方正仿宋_GB2312" w:cs="方正仿宋_GB2312" w:hint="eastAsia"/>
          <w:sz w:val="24"/>
          <w:szCs w:val="24"/>
          <w:lang w:eastAsia="zh-CN"/>
        </w:rPr>
        <w:t>DB15/T 2441—2021是与本文件技术路线最接近的现行标准。两者在滴灌管网连接与试水、苗期滴水量（20 m³/667 m²～30 m³/667 m²）、播种深度</w:t>
      </w:r>
      <w:r>
        <w:rPr>
          <w:rFonts w:ascii="方正仿宋_GB2312" w:eastAsia="方正仿宋_GB2312" w:hAnsi="方正仿宋_GB2312" w:cs="方正仿宋_GB2312" w:hint="eastAsia"/>
          <w:sz w:val="24"/>
          <w:szCs w:val="24"/>
          <w:lang w:eastAsia="zh-CN"/>
        </w:rPr>
        <w:lastRenderedPageBreak/>
        <w:t>（3 cm～4 cm）、播期温度指标（5 cm～10 cm土层地温稳定通过10 ℃）等通用环节协调一致；主要差异体现在：适用范围上，该标准适用于耕层深厚、肥力较好、具备滴灌条件的地块，本文件面向苏打盐碱地；种植模式上，该标准为110 cm大垄4行，本文件为60 cm小垄双行；群体调控上，该标准以播量和株距控制群体，本文件以密度分区控制群体，密度区间整体更高，体现以密补弱；施肥体系上，本文件提高有机肥用量并配施生物菌肥、种肥深施12 cm～15 cm；技术环节上，本文件增设排水沟与暗管排盐、盐碱地芦苇防除、滴灌带回收等盐碱地专属内容。</w:t>
      </w:r>
      <w:proofErr w:type="spellStart"/>
      <w:r>
        <w:rPr>
          <w:rFonts w:ascii="方正仿宋_GB2312" w:eastAsia="方正仿宋_GB2312" w:hAnsi="方正仿宋_GB2312" w:cs="方正仿宋_GB2312" w:hint="eastAsia"/>
          <w:sz w:val="24"/>
          <w:szCs w:val="24"/>
        </w:rPr>
        <w:t>两者构成互补关系，不构成重复制定</w:t>
      </w:r>
      <w:proofErr w:type="spellEnd"/>
      <w:r>
        <w:rPr>
          <w:rFonts w:ascii="方正仿宋_GB2312" w:eastAsia="方正仿宋_GB2312" w:hAnsi="方正仿宋_GB2312" w:cs="方正仿宋_GB2312" w:hint="eastAsia"/>
          <w:sz w:val="24"/>
          <w:szCs w:val="24"/>
        </w:rPr>
        <w:t>。</w:t>
      </w:r>
    </w:p>
    <w:p w14:paraId="2237BC9E" w14:textId="77777777" w:rsidR="00511120" w:rsidRDefault="00000000">
      <w:pPr>
        <w:pStyle w:val="Heading1"/>
        <w:spacing w:before="240" w:after="120" w:line="360" w:lineRule="auto"/>
        <w:rPr>
          <w:rFonts w:ascii="黑体" w:eastAsia="黑体" w:hAnsi="黑体" w:cs="黑体"/>
          <w:sz w:val="28"/>
          <w:szCs w:val="28"/>
          <w:lang w:eastAsia="zh-CN"/>
        </w:rPr>
      </w:pPr>
      <w:bookmarkStart w:id="9" w:name="_Toc243314994"/>
      <w:r>
        <w:rPr>
          <w:rFonts w:ascii="黑体" w:eastAsia="黑体" w:hAnsi="黑体" w:cs="黑体" w:hint="eastAsia"/>
          <w:sz w:val="28"/>
          <w:szCs w:val="28"/>
          <w:lang w:eastAsia="zh-CN"/>
        </w:rPr>
        <w:t>主要试验（或验证）的分析、技术经济论证及预期的经济效果</w:t>
      </w:r>
      <w:bookmarkEnd w:id="9"/>
    </w:p>
    <w:p w14:paraId="4F4BC4DA"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本文件为栽培技术规程类标准，不涉及检测方法、检验规则，故不适用“方法类标准验证单位不少于3家”的要求；标准中的关键技术参数均经田间试验验证，验证点设于东北苏打盐碱地大豆主要种植区，包括内蒙古自治区兴安盟、吉林省西部等苏打盐碱地集中分布区域。</w:t>
      </w:r>
    </w:p>
    <w:p w14:paraId="28CBB5AA" w14:textId="77777777" w:rsidR="00511120" w:rsidRDefault="00000000">
      <w:pPr>
        <w:pStyle w:val="Heading2"/>
        <w:spacing w:before="180" w:after="90" w:line="360" w:lineRule="auto"/>
        <w:rPr>
          <w:rFonts w:ascii="黑体" w:hAnsi="黑体" w:cs="黑体"/>
          <w:sz w:val="24"/>
          <w:szCs w:val="24"/>
          <w:lang w:eastAsia="zh-CN"/>
        </w:rPr>
      </w:pPr>
      <w:bookmarkStart w:id="10" w:name="_Toc243314995"/>
      <w:r>
        <w:rPr>
          <w:rFonts w:ascii="黑体" w:hAnsi="黑体" w:cs="黑体" w:hint="eastAsia"/>
          <w:sz w:val="24"/>
          <w:szCs w:val="24"/>
          <w:lang w:eastAsia="zh-CN"/>
        </w:rPr>
        <w:t>主要试验（或验证）的分析</w:t>
      </w:r>
      <w:bookmarkEnd w:id="10"/>
    </w:p>
    <w:p w14:paraId="2A0505C3" w14:textId="77777777" w:rsidR="00511120" w:rsidRDefault="00000000">
      <w:pPr>
        <w:keepNext/>
        <w:spacing w:before="120" w:after="60"/>
        <w:rPr>
          <w:lang w:eastAsia="zh-CN"/>
        </w:rPr>
      </w:pPr>
      <w:r>
        <w:rPr>
          <w:rFonts w:ascii="黑体" w:eastAsia="黑体" w:hAnsi="黑体" w:hint="eastAsia"/>
          <w:b/>
          <w:sz w:val="24"/>
          <w:szCs w:val="24"/>
          <w:lang w:eastAsia="zh-CN"/>
        </w:rPr>
        <w:t>1. 2024年技术初步研发</w:t>
      </w:r>
    </w:p>
    <w:p w14:paraId="1DBADCDD"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（1）肥料运筹与耕层增碳沃化。在整地过程中抛洒施用腐熟牛粪和酸性肥料磷酸一铵，利用起垄施肥一体机将复合肥和微生物菌肥施于耕层8 cm～10 cm，实现有机物料与化学肥料配合、耕层增碳与降碱同步。</w:t>
      </w:r>
    </w:p>
    <w:p w14:paraId="24B7C7A7" w14:textId="77777777" w:rsidR="00511120" w:rsidRDefault="00000000">
      <w:pPr>
        <w:keepNext/>
        <w:spacing w:before="120" w:after="60"/>
        <w:jc w:val="center"/>
      </w:pPr>
      <w:r>
        <w:rPr>
          <w:noProof/>
        </w:rPr>
        <w:lastRenderedPageBreak/>
        <w:drawing>
          <wp:inline distT="0" distB="0" distL="0" distR="0" wp14:anchorId="2F00594F" wp14:editId="3B6F016B">
            <wp:extent cx="1620000" cy="912000"/>
            <wp:effectExtent l="0" t="0" r="0" b="0"/>
            <wp:docPr id="2" name="fig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1_0"/>
                    <pic:cNvPicPr/>
                  </pic:nvPicPr>
                  <pic:blipFill>
                    <a:blip r:embed="rId10"/>
                    <a:stretch>
                      <a:fillRect/>
                    </a:stretch>
                  </pic:blipFill>
                  <pic:spPr>
                    <a:xfrm>
                      <a:off x="0" y="0"/>
                      <a:ext cx="1620000" cy="912000"/>
                    </a:xfrm>
                    <a:prstGeom prst="rect">
                      <a:avLst/>
                    </a:prstGeom>
                  </pic:spPr>
                </pic:pic>
              </a:graphicData>
            </a:graphic>
          </wp:inline>
        </w:drawing>
      </w:r>
      <w:r>
        <w:rPr>
          <w:rFonts w:hint="eastAsia"/>
        </w:rPr>
        <w:t xml:space="preserve">  </w:t>
      </w:r>
      <w:r>
        <w:rPr>
          <w:noProof/>
        </w:rPr>
        <w:drawing>
          <wp:inline distT="0" distB="0" distL="0" distR="0" wp14:anchorId="2C9637EB" wp14:editId="19EC083E">
            <wp:extent cx="1620000" cy="912000"/>
            <wp:effectExtent l="0" t="0" r="0" b="0"/>
            <wp:docPr id="5" name="fig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1_1"/>
                    <pic:cNvPicPr/>
                  </pic:nvPicPr>
                  <pic:blipFill>
                    <a:blip r:embed="rId11"/>
                    <a:srcRect t="16258"/>
                    <a:stretch>
                      <a:fillRect/>
                    </a:stretch>
                  </pic:blipFill>
                  <pic:spPr>
                    <a:xfrm>
                      <a:off x="0" y="0"/>
                      <a:ext cx="1620000" cy="912000"/>
                    </a:xfrm>
                    <a:prstGeom prst="rect">
                      <a:avLst/>
                    </a:prstGeom>
                  </pic:spPr>
                </pic:pic>
              </a:graphicData>
            </a:graphic>
          </wp:inline>
        </w:drawing>
      </w:r>
      <w:r>
        <w:rPr>
          <w:rFonts w:hint="eastAsia"/>
        </w:rPr>
        <w:t xml:space="preserve">  </w:t>
      </w:r>
      <w:r>
        <w:rPr>
          <w:noProof/>
        </w:rPr>
        <w:drawing>
          <wp:inline distT="0" distB="0" distL="0" distR="0" wp14:anchorId="0F04EC26" wp14:editId="4AE41511">
            <wp:extent cx="1620000" cy="912000"/>
            <wp:effectExtent l="0" t="0" r="0" b="0"/>
            <wp:docPr id="8" name="fig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1_2"/>
                    <pic:cNvPicPr/>
                  </pic:nvPicPr>
                  <pic:blipFill>
                    <a:blip r:embed="rId12"/>
                    <a:srcRect l="2489" r="4204" b="30566"/>
                    <a:stretch>
                      <a:fillRect/>
                    </a:stretch>
                  </pic:blipFill>
                  <pic:spPr>
                    <a:xfrm>
                      <a:off x="0" y="0"/>
                      <a:ext cx="1620000" cy="912000"/>
                    </a:xfrm>
                    <a:prstGeom prst="rect">
                      <a:avLst/>
                    </a:prstGeom>
                  </pic:spPr>
                </pic:pic>
              </a:graphicData>
            </a:graphic>
          </wp:inline>
        </w:drawing>
      </w:r>
    </w:p>
    <w:p w14:paraId="39732271" w14:textId="77777777" w:rsidR="00511120" w:rsidRDefault="00000000">
      <w:pPr>
        <w:keepNext/>
        <w:spacing w:before="120" w:after="60"/>
        <w:jc w:val="center"/>
      </w:pPr>
      <w:r>
        <w:rPr>
          <w:noProof/>
        </w:rPr>
        <w:drawing>
          <wp:inline distT="0" distB="0" distL="0" distR="0" wp14:anchorId="2B090DE9" wp14:editId="15676A3B">
            <wp:extent cx="1620000" cy="912000"/>
            <wp:effectExtent l="0" t="0" r="0" b="0"/>
            <wp:docPr id="11" name="fig1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1_3"/>
                    <pic:cNvPicPr/>
                  </pic:nvPicPr>
                  <pic:blipFill>
                    <a:blip r:embed="rId13"/>
                    <a:srcRect l="18399" t="71770"/>
                    <a:stretch>
                      <a:fillRect/>
                    </a:stretch>
                  </pic:blipFill>
                  <pic:spPr>
                    <a:xfrm>
                      <a:off x="0" y="0"/>
                      <a:ext cx="1620000" cy="912000"/>
                    </a:xfrm>
                    <a:prstGeom prst="rect">
                      <a:avLst/>
                    </a:prstGeom>
                  </pic:spPr>
                </pic:pic>
              </a:graphicData>
            </a:graphic>
          </wp:inline>
        </w:drawing>
      </w:r>
      <w:r>
        <w:rPr>
          <w:rFonts w:hint="eastAsia"/>
        </w:rPr>
        <w:t xml:space="preserve">  </w:t>
      </w:r>
      <w:r>
        <w:rPr>
          <w:noProof/>
        </w:rPr>
        <w:drawing>
          <wp:inline distT="0" distB="0" distL="0" distR="0" wp14:anchorId="3B6310F5" wp14:editId="628E5155">
            <wp:extent cx="1620000" cy="912000"/>
            <wp:effectExtent l="0" t="0" r="0" b="0"/>
            <wp:docPr id="14" name="fig1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1_4"/>
                    <pic:cNvPicPr/>
                  </pic:nvPicPr>
                  <pic:blipFill>
                    <a:blip r:embed="rId14"/>
                    <a:stretch>
                      <a:fillRect/>
                    </a:stretch>
                  </pic:blipFill>
                  <pic:spPr>
                    <a:xfrm>
                      <a:off x="0" y="0"/>
                      <a:ext cx="1620000" cy="912000"/>
                    </a:xfrm>
                    <a:prstGeom prst="rect">
                      <a:avLst/>
                    </a:prstGeom>
                  </pic:spPr>
                </pic:pic>
              </a:graphicData>
            </a:graphic>
          </wp:inline>
        </w:drawing>
      </w:r>
      <w:r>
        <w:rPr>
          <w:rFonts w:hint="eastAsia"/>
        </w:rPr>
        <w:t xml:space="preserve">  </w:t>
      </w:r>
      <w:r>
        <w:rPr>
          <w:noProof/>
        </w:rPr>
        <w:drawing>
          <wp:inline distT="0" distB="0" distL="0" distR="0" wp14:anchorId="08D30AEA" wp14:editId="23566F1A">
            <wp:extent cx="1620000" cy="912000"/>
            <wp:effectExtent l="0" t="0" r="0" b="0"/>
            <wp:docPr id="17" name="fig1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1_5"/>
                    <pic:cNvPicPr/>
                  </pic:nvPicPr>
                  <pic:blipFill>
                    <a:blip r:embed="rId15"/>
                    <a:srcRect t="30148"/>
                    <a:stretch>
                      <a:fillRect/>
                    </a:stretch>
                  </pic:blipFill>
                  <pic:spPr>
                    <a:xfrm>
                      <a:off x="0" y="0"/>
                      <a:ext cx="1620000" cy="912000"/>
                    </a:xfrm>
                    <a:prstGeom prst="rect">
                      <a:avLst/>
                    </a:prstGeom>
                  </pic:spPr>
                </pic:pic>
              </a:graphicData>
            </a:graphic>
          </wp:inline>
        </w:drawing>
      </w:r>
    </w:p>
    <w:p w14:paraId="10FD1B8D" w14:textId="77777777" w:rsidR="00511120" w:rsidRDefault="00000000">
      <w:pPr>
        <w:keepLines/>
        <w:spacing w:before="60" w:after="180"/>
        <w:jc w:val="center"/>
        <w:rPr>
          <w:lang w:eastAsia="zh-CN"/>
        </w:rPr>
      </w:pPr>
      <w:r>
        <w:rPr>
          <w:rFonts w:ascii="宋体" w:eastAsia="宋体" w:hAnsi="宋体" w:hint="eastAsia"/>
          <w:b/>
          <w:lang w:eastAsia="zh-CN"/>
        </w:rPr>
        <w:t>图</w:t>
      </w:r>
      <w:r>
        <w:rPr>
          <w:rFonts w:hint="eastAsia"/>
          <w:lang w:eastAsia="zh-CN"/>
        </w:rPr>
        <w:t>1  盐碱地整地施肥作业</w:t>
      </w:r>
    </w:p>
    <w:p w14:paraId="5916A32C"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（2）配套农机具改造与播种—铺管一体化。针对盐碱地地下水位高的特点，将当地60 cm小垄免耕播种机改良为播种—滴灌带铺埋一体化装备，采用60 cm小垄双行浅埋滴灌种植大豆，通过增密缩距提高播种密度，一次作业完成深施种肥、播种、铺管、覆土、镇压。</w:t>
      </w:r>
    </w:p>
    <w:p w14:paraId="547EBC9B" w14:textId="77777777" w:rsidR="00511120" w:rsidRDefault="00000000">
      <w:pPr>
        <w:keepNext/>
        <w:spacing w:before="120" w:after="60"/>
        <w:jc w:val="center"/>
      </w:pPr>
      <w:r>
        <w:rPr>
          <w:noProof/>
        </w:rPr>
        <w:drawing>
          <wp:inline distT="0" distB="0" distL="0" distR="0" wp14:anchorId="45F105D9" wp14:editId="4A7A21A9">
            <wp:extent cx="2880000" cy="3845127"/>
            <wp:effectExtent l="0" t="0" r="0" b="0"/>
            <wp:docPr id="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07_para75.jpeg"/>
                    <pic:cNvPicPr/>
                  </pic:nvPicPr>
                  <pic:blipFill>
                    <a:blip r:embed="rId16"/>
                    <a:stretch>
                      <a:fillRect/>
                    </a:stretch>
                  </pic:blipFill>
                  <pic:spPr>
                    <a:xfrm>
                      <a:off x="0" y="0"/>
                      <a:ext cx="2880000" cy="3845127"/>
                    </a:xfrm>
                    <a:prstGeom prst="rect">
                      <a:avLst/>
                    </a:prstGeom>
                  </pic:spPr>
                </pic:pic>
              </a:graphicData>
            </a:graphic>
          </wp:inline>
        </w:drawing>
      </w:r>
    </w:p>
    <w:p w14:paraId="1D16562F" w14:textId="77777777" w:rsidR="00511120" w:rsidRDefault="00000000">
      <w:pPr>
        <w:keepLines/>
        <w:spacing w:before="60" w:after="180"/>
        <w:jc w:val="center"/>
        <w:rPr>
          <w:lang w:eastAsia="zh-CN"/>
        </w:rPr>
      </w:pPr>
      <w:r>
        <w:rPr>
          <w:rFonts w:ascii="宋体" w:eastAsia="宋体" w:hAnsi="宋体" w:hint="eastAsia"/>
          <w:b/>
          <w:lang w:eastAsia="zh-CN"/>
        </w:rPr>
        <w:t>图2  盐碱地播种—滴灌带铺埋一体化装备</w:t>
      </w:r>
    </w:p>
    <w:p w14:paraId="7CF514AC" w14:textId="77777777" w:rsidR="00511120" w:rsidRDefault="00000000">
      <w:pPr>
        <w:keepNext/>
        <w:spacing w:before="120" w:after="60"/>
        <w:jc w:val="center"/>
      </w:pPr>
      <w:r>
        <w:rPr>
          <w:noProof/>
        </w:rPr>
        <w:lastRenderedPageBreak/>
        <w:drawing>
          <wp:inline distT="0" distB="0" distL="0" distR="0" wp14:anchorId="4A6A2357" wp14:editId="64DA9D5D">
            <wp:extent cx="3960000" cy="2228475"/>
            <wp:effectExtent l="0" t="0" r="0" b="0"/>
            <wp:docPr id="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08_para81.jpeg"/>
                    <pic:cNvPicPr/>
                  </pic:nvPicPr>
                  <pic:blipFill>
                    <a:blip r:embed="rId17"/>
                    <a:stretch>
                      <a:fillRect/>
                    </a:stretch>
                  </pic:blipFill>
                  <pic:spPr>
                    <a:xfrm>
                      <a:off x="0" y="0"/>
                      <a:ext cx="3960000" cy="2228475"/>
                    </a:xfrm>
                    <a:prstGeom prst="rect">
                      <a:avLst/>
                    </a:prstGeom>
                  </pic:spPr>
                </pic:pic>
              </a:graphicData>
            </a:graphic>
          </wp:inline>
        </w:drawing>
      </w:r>
    </w:p>
    <w:p w14:paraId="61271540" w14:textId="77777777" w:rsidR="00511120" w:rsidRDefault="00000000">
      <w:pPr>
        <w:keepLines/>
        <w:spacing w:before="60" w:after="180"/>
        <w:jc w:val="center"/>
        <w:rPr>
          <w:lang w:eastAsia="zh-CN"/>
        </w:rPr>
      </w:pPr>
      <w:r>
        <w:rPr>
          <w:rFonts w:ascii="宋体" w:eastAsia="宋体" w:hAnsi="宋体" w:hint="eastAsia"/>
          <w:b/>
          <w:lang w:eastAsia="zh-CN"/>
        </w:rPr>
        <w:t>图3  60 cm小垄双行浅埋滴灌种植模式</w:t>
      </w:r>
    </w:p>
    <w:p w14:paraId="33672160"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3）根区强化与促生抗逆。选用东生118、齐农7号、齐农12、齐农30、吉育303、吉大豆3号、吉农308、黑农531、黑农94、黑农91、农庆豆28等11个适合当地积温条件的大豆品种，采用小垄双行浅埋滴灌种植。在出苗前后及苗期营养生长期，通过滴灌施入液体水溶肥、黄腐酸钾、酸性液体肥和生物菌剂，促进根系发育；营养生长期滴施大量元素、中微量元素、流体钙等水溶肥料，并配合无人机喷施叶面肥。</w:t>
      </w:r>
    </w:p>
    <w:p w14:paraId="167833A6"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2024年9月27日，邀请大豆育种及栽培专家对7个盐碱地表现较好的品种进行实地测产。测产结果显示，耐盐碱大豆产量为66.85公斤/亩～188.39公斤/亩，其中齐农7号亩产最高，为188.39公斤/亩，验证了该技术模式在苏打盐碱地上的增产潜力。</w:t>
      </w:r>
    </w:p>
    <w:p w14:paraId="1C621DA1" w14:textId="77777777" w:rsidR="00511120" w:rsidRDefault="00000000">
      <w:pPr>
        <w:keepNext/>
        <w:spacing w:before="120" w:after="60"/>
        <w:jc w:val="center"/>
      </w:pPr>
      <w:r>
        <w:rPr>
          <w:noProof/>
        </w:rPr>
        <w:lastRenderedPageBreak/>
        <w:drawing>
          <wp:inline distT="0" distB="0" distL="0" distR="0" wp14:anchorId="31D3F40B" wp14:editId="2B461C1E">
            <wp:extent cx="4716000" cy="1962547"/>
            <wp:effectExtent l="0" t="0" r="5715" b="6350"/>
            <wp:docPr id="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g09_para90.png"/>
                    <pic:cNvPicPr/>
                  </pic:nvPicPr>
                  <pic:blipFill>
                    <a:blip r:embed="rId18"/>
                    <a:stretch>
                      <a:fillRect/>
                    </a:stretch>
                  </pic:blipFill>
                  <pic:spPr>
                    <a:xfrm>
                      <a:off x="0" y="0"/>
                      <a:ext cx="4716000" cy="1962547"/>
                    </a:xfrm>
                    <a:prstGeom prst="rect">
                      <a:avLst/>
                    </a:prstGeom>
                  </pic:spPr>
                </pic:pic>
              </a:graphicData>
            </a:graphic>
          </wp:inline>
        </w:drawing>
      </w:r>
    </w:p>
    <w:p w14:paraId="7B177769" w14:textId="77777777" w:rsidR="00511120" w:rsidRDefault="00000000">
      <w:pPr>
        <w:keepLines/>
        <w:spacing w:before="60" w:after="180"/>
        <w:jc w:val="center"/>
        <w:rPr>
          <w:lang w:eastAsia="zh-CN"/>
        </w:rPr>
      </w:pPr>
      <w:r>
        <w:rPr>
          <w:rFonts w:ascii="宋体" w:eastAsia="宋体" w:hAnsi="宋体" w:hint="eastAsia"/>
          <w:b/>
          <w:lang w:eastAsia="zh-CN"/>
        </w:rPr>
        <w:t>图4  耐盐大豆品种苗期表型</w:t>
      </w:r>
    </w:p>
    <w:p w14:paraId="4E4CF3C0" w14:textId="77777777" w:rsidR="00511120" w:rsidRDefault="00000000">
      <w:pPr>
        <w:keepNext/>
        <w:spacing w:before="120" w:after="60"/>
        <w:jc w:val="center"/>
      </w:pPr>
      <w:r>
        <w:rPr>
          <w:noProof/>
        </w:rPr>
        <w:drawing>
          <wp:inline distT="0" distB="0" distL="0" distR="0" wp14:anchorId="3BB187BC" wp14:editId="24B11329">
            <wp:extent cx="1570176" cy="1152000"/>
            <wp:effectExtent l="0" t="0" r="0" b="0"/>
            <wp:docPr id="29" name="fig5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5_0"/>
                    <pic:cNvPicPr/>
                  </pic:nvPicPr>
                  <pic:blipFill>
                    <a:blip r:embed="rId19"/>
                    <a:stretch>
                      <a:fillRect/>
                    </a:stretch>
                  </pic:blipFill>
                  <pic:spPr>
                    <a:xfrm>
                      <a:off x="0" y="0"/>
                      <a:ext cx="1570176" cy="1152000"/>
                    </a:xfrm>
                    <a:prstGeom prst="rect">
                      <a:avLst/>
                    </a:prstGeom>
                  </pic:spPr>
                </pic:pic>
              </a:graphicData>
            </a:graphic>
          </wp:inline>
        </w:drawing>
      </w:r>
      <w:r>
        <w:rPr>
          <w:rFonts w:hint="eastAsia"/>
          <w:sz w:val="36"/>
          <w:szCs w:val="36"/>
        </w:rPr>
        <w:t xml:space="preserve">  </w:t>
      </w:r>
      <w:r>
        <w:rPr>
          <w:noProof/>
        </w:rPr>
        <w:drawing>
          <wp:inline distT="0" distB="0" distL="0" distR="0" wp14:anchorId="3838D9E5" wp14:editId="780C0366">
            <wp:extent cx="1564416" cy="1152000"/>
            <wp:effectExtent l="0" t="0" r="0" b="0"/>
            <wp:docPr id="32" name="fig5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5_1"/>
                    <pic:cNvPicPr/>
                  </pic:nvPicPr>
                  <pic:blipFill>
                    <a:blip r:embed="rId20"/>
                    <a:stretch>
                      <a:fillRect/>
                    </a:stretch>
                  </pic:blipFill>
                  <pic:spPr>
                    <a:xfrm>
                      <a:off x="0" y="0"/>
                      <a:ext cx="1564416" cy="1152000"/>
                    </a:xfrm>
                    <a:prstGeom prst="rect">
                      <a:avLst/>
                    </a:prstGeom>
                  </pic:spPr>
                </pic:pic>
              </a:graphicData>
            </a:graphic>
          </wp:inline>
        </w:drawing>
      </w:r>
      <w:r>
        <w:rPr>
          <w:rFonts w:hint="eastAsia"/>
          <w:sz w:val="36"/>
          <w:szCs w:val="36"/>
        </w:rPr>
        <w:t xml:space="preserve">  </w:t>
      </w:r>
      <w:r>
        <w:rPr>
          <w:noProof/>
        </w:rPr>
        <w:drawing>
          <wp:inline distT="0" distB="0" distL="0" distR="0" wp14:anchorId="7FEB5EC1" wp14:editId="039F1850">
            <wp:extent cx="1596672" cy="1152000"/>
            <wp:effectExtent l="0" t="0" r="0" b="0"/>
            <wp:docPr id="35" name="fig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ig5_2"/>
                    <pic:cNvPicPr/>
                  </pic:nvPicPr>
                  <pic:blipFill>
                    <a:blip r:embed="rId21"/>
                    <a:stretch>
                      <a:fillRect/>
                    </a:stretch>
                  </pic:blipFill>
                  <pic:spPr>
                    <a:xfrm>
                      <a:off x="0" y="0"/>
                      <a:ext cx="1596672" cy="1152000"/>
                    </a:xfrm>
                    <a:prstGeom prst="rect">
                      <a:avLst/>
                    </a:prstGeom>
                  </pic:spPr>
                </pic:pic>
              </a:graphicData>
            </a:graphic>
          </wp:inline>
        </w:drawing>
      </w:r>
    </w:p>
    <w:p w14:paraId="792FE949" w14:textId="77777777" w:rsidR="00511120" w:rsidRDefault="00000000">
      <w:pPr>
        <w:keepNext/>
        <w:spacing w:before="120" w:after="60"/>
        <w:jc w:val="center"/>
      </w:pPr>
      <w:r>
        <w:rPr>
          <w:noProof/>
        </w:rPr>
        <w:drawing>
          <wp:inline distT="0" distB="0" distL="0" distR="0" wp14:anchorId="097474D5" wp14:editId="53B2B298">
            <wp:extent cx="1467648" cy="1152000"/>
            <wp:effectExtent l="0" t="0" r="0" b="0"/>
            <wp:docPr id="38" name="fig5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ig5_3"/>
                    <pic:cNvPicPr/>
                  </pic:nvPicPr>
                  <pic:blipFill>
                    <a:blip r:embed="rId22"/>
                    <a:stretch>
                      <a:fillRect/>
                    </a:stretch>
                  </pic:blipFill>
                  <pic:spPr>
                    <a:xfrm>
                      <a:off x="0" y="0"/>
                      <a:ext cx="1467648" cy="1152000"/>
                    </a:xfrm>
                    <a:prstGeom prst="rect">
                      <a:avLst/>
                    </a:prstGeom>
                  </pic:spPr>
                </pic:pic>
              </a:graphicData>
            </a:graphic>
          </wp:inline>
        </w:drawing>
      </w:r>
      <w:r>
        <w:rPr>
          <w:rFonts w:hint="eastAsia"/>
          <w:sz w:val="36"/>
          <w:szCs w:val="36"/>
        </w:rPr>
        <w:t xml:space="preserve">  </w:t>
      </w:r>
      <w:r>
        <w:rPr>
          <w:noProof/>
        </w:rPr>
        <w:drawing>
          <wp:inline distT="0" distB="0" distL="0" distR="0" wp14:anchorId="097A594C" wp14:editId="35C0778D">
            <wp:extent cx="1623168" cy="1152000"/>
            <wp:effectExtent l="0" t="0" r="0" b="0"/>
            <wp:docPr id="41" name="fig5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ig5_4"/>
                    <pic:cNvPicPr/>
                  </pic:nvPicPr>
                  <pic:blipFill>
                    <a:blip r:embed="rId23"/>
                    <a:stretch>
                      <a:fillRect/>
                    </a:stretch>
                  </pic:blipFill>
                  <pic:spPr>
                    <a:xfrm>
                      <a:off x="0" y="0"/>
                      <a:ext cx="1623168" cy="1152000"/>
                    </a:xfrm>
                    <a:prstGeom prst="rect">
                      <a:avLst/>
                    </a:prstGeom>
                  </pic:spPr>
                </pic:pic>
              </a:graphicData>
            </a:graphic>
          </wp:inline>
        </w:drawing>
      </w:r>
    </w:p>
    <w:p w14:paraId="3E157BDF" w14:textId="77777777" w:rsidR="00511120" w:rsidRDefault="00000000">
      <w:pPr>
        <w:keepLines/>
        <w:spacing w:before="60" w:after="180"/>
        <w:jc w:val="center"/>
        <w:rPr>
          <w:lang w:eastAsia="zh-CN"/>
        </w:rPr>
      </w:pPr>
      <w:r>
        <w:rPr>
          <w:rFonts w:ascii="宋体" w:eastAsia="宋体" w:hAnsi="宋体" w:hint="eastAsia"/>
          <w:b/>
          <w:lang w:eastAsia="zh-CN"/>
        </w:rPr>
        <w:t>图5  水肥一体化和喷施叶面肥提高大豆产量</w:t>
      </w:r>
    </w:p>
    <w:p w14:paraId="593DF8A5" w14:textId="77777777" w:rsidR="00511120" w:rsidRDefault="00000000">
      <w:pPr>
        <w:keepNext/>
        <w:spacing w:before="120" w:after="60"/>
        <w:jc w:val="center"/>
      </w:pPr>
      <w:r>
        <w:rPr>
          <w:noProof/>
        </w:rPr>
        <w:drawing>
          <wp:inline distT="0" distB="0" distL="0" distR="0" wp14:anchorId="33B725E1" wp14:editId="1434F16C">
            <wp:extent cx="5040000" cy="1557960"/>
            <wp:effectExtent l="0" t="0" r="0" b="0"/>
            <wp:docPr id="4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g16_para106.png"/>
                    <pic:cNvPicPr/>
                  </pic:nvPicPr>
                  <pic:blipFill>
                    <a:blip r:embed="rId24"/>
                    <a:stretch>
                      <a:fillRect/>
                    </a:stretch>
                  </pic:blipFill>
                  <pic:spPr>
                    <a:xfrm>
                      <a:off x="0" y="0"/>
                      <a:ext cx="5040000" cy="1557960"/>
                    </a:xfrm>
                    <a:prstGeom prst="rect">
                      <a:avLst/>
                    </a:prstGeom>
                  </pic:spPr>
                </pic:pic>
              </a:graphicData>
            </a:graphic>
          </wp:inline>
        </w:drawing>
      </w:r>
    </w:p>
    <w:p w14:paraId="3978BB97" w14:textId="77777777" w:rsidR="00511120" w:rsidRDefault="00000000">
      <w:pPr>
        <w:keepLines/>
        <w:spacing w:before="60" w:after="180"/>
        <w:jc w:val="center"/>
        <w:rPr>
          <w:lang w:eastAsia="zh-CN"/>
        </w:rPr>
      </w:pPr>
      <w:r>
        <w:rPr>
          <w:rFonts w:ascii="宋体" w:eastAsia="宋体" w:hAnsi="宋体" w:hint="eastAsia"/>
          <w:b/>
          <w:lang w:eastAsia="zh-CN"/>
        </w:rPr>
        <w:t>图6  耐盐大豆品种成熟期表型</w:t>
      </w:r>
    </w:p>
    <w:p w14:paraId="67C16E0A" w14:textId="77777777" w:rsidR="00511120" w:rsidRDefault="00000000">
      <w:pPr>
        <w:keepNext/>
        <w:spacing w:before="120" w:after="60"/>
        <w:rPr>
          <w:lang w:eastAsia="zh-CN"/>
        </w:rPr>
      </w:pPr>
      <w:r>
        <w:rPr>
          <w:rFonts w:ascii="黑体" w:eastAsia="黑体" w:hAnsi="黑体" w:hint="eastAsia"/>
          <w:b/>
          <w:sz w:val="24"/>
          <w:szCs w:val="24"/>
          <w:lang w:eastAsia="zh-CN"/>
        </w:rPr>
        <w:t>2. 2025年技术优化</w:t>
      </w:r>
    </w:p>
    <w:p w14:paraId="02A75BD7"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在2024年“根区强化压盐降碱”小垄双行浅埋滴灌技术基础上，2025年系统开展耐盐碱品种种植密度、滴灌施肥时期等田间试验，进一步优化技术参数。</w:t>
      </w:r>
    </w:p>
    <w:p w14:paraId="697AF14A"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（1）耐盐碱大豆品种适宜种植密度筛选。在验证点对主推耐盐碱品种吉育303、东生118和东生140设置21万、33万、41万和51万株/hm²共4个密</w:t>
      </w:r>
      <w:r>
        <w:rPr>
          <w:rFonts w:ascii="方正仿宋_GB2312" w:eastAsia="方正仿宋_GB2312" w:hAnsi="方正仿宋_GB2312" w:cs="方正仿宋_GB2312" w:hint="eastAsia"/>
          <w:sz w:val="24"/>
          <w:szCs w:val="24"/>
          <w:lang w:eastAsia="zh-CN"/>
        </w:rPr>
        <w:lastRenderedPageBreak/>
        <w:t>度处理，系统评估其生理指标及产量表现。结果表明，吉育303在33万株/hm²密度下光合速率与根瘤数均显著优于其他处理，产量达118.9公斤/亩；东生140在相同密度下单株粒数和根瘤数最高，产量为195.61公斤/亩；东生118在41万株/hm²时叶绿素含量与根瘤数表现最优，产量达209.28公斤/亩，较其推荐密度21万株/hm²（196.60公斤/亩）增产6.4%。因此，晚熟品种东生118更适于低洼苏打盐碱地种植，推荐密度为41万株/hm²。</w:t>
      </w:r>
    </w:p>
    <w:p w14:paraId="2C8787D7" w14:textId="77777777" w:rsidR="00511120" w:rsidRDefault="00000000">
      <w:pPr>
        <w:keepNext/>
        <w:spacing w:before="120" w:after="60"/>
        <w:jc w:val="center"/>
      </w:pPr>
      <w:r>
        <w:rPr>
          <w:noProof/>
        </w:rPr>
        <w:drawing>
          <wp:inline distT="0" distB="0" distL="0" distR="0" wp14:anchorId="4E1E770D" wp14:editId="01CA1E1F">
            <wp:extent cx="5040000" cy="2143769"/>
            <wp:effectExtent l="0" t="0" r="0" b="0"/>
            <wp:docPr id="4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g17_para114.png"/>
                    <pic:cNvPicPr/>
                  </pic:nvPicPr>
                  <pic:blipFill>
                    <a:blip r:embed="rId25"/>
                    <a:stretch>
                      <a:fillRect/>
                    </a:stretch>
                  </pic:blipFill>
                  <pic:spPr>
                    <a:xfrm>
                      <a:off x="0" y="0"/>
                      <a:ext cx="5040000" cy="2143769"/>
                    </a:xfrm>
                    <a:prstGeom prst="rect">
                      <a:avLst/>
                    </a:prstGeom>
                  </pic:spPr>
                </pic:pic>
              </a:graphicData>
            </a:graphic>
          </wp:inline>
        </w:drawing>
      </w:r>
    </w:p>
    <w:p w14:paraId="6673196C" w14:textId="77777777" w:rsidR="00511120" w:rsidRDefault="00000000">
      <w:pPr>
        <w:keepLines/>
        <w:spacing w:before="60" w:after="180"/>
        <w:jc w:val="center"/>
        <w:rPr>
          <w:lang w:eastAsia="zh-CN"/>
        </w:rPr>
      </w:pPr>
      <w:r>
        <w:rPr>
          <w:rFonts w:ascii="宋体" w:eastAsia="宋体" w:hAnsi="宋体" w:hint="eastAsia"/>
          <w:b/>
          <w:lang w:eastAsia="zh-CN"/>
        </w:rPr>
        <w:t>图7  东生118种植密度筛选</w:t>
      </w:r>
    </w:p>
    <w:p w14:paraId="68A327A9"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2）不同时期滴灌施肥对产量影响。针对滴灌条件下不同生育时期施肥对产量贡献不明确的问题，设置仅苗期（VE）、苗期+分枝期（VE-V6）、苗期+分枝期+开花期（VE-V6+R1）、苗期+分枝期+开花期+始荚期（VE-V6+R1-R3）、苗期+分枝期+开花期+始荚期+鼓粒初期（VE-V6+R1-R5）及全期施肥（VE-V6+R1-R7）共7个处理，以当地常规平播浅埋滴灌清水为对照（CK），系统监测植株生理指标与土壤理化性质。</w:t>
      </w:r>
    </w:p>
    <w:p w14:paraId="56358005"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结果表明，VE、VE-V6、VE-V6+R1和VE-V6+R1-R3处理均能显著提升叶片光合速率、株高、百粒重及产量，且产量随施肥次数增加呈上升趋势，其中VE-V6+R1-R3处理效果最佳，东生118亩产达200.36公斤，较CK（127.21</w:t>
      </w:r>
      <w:r>
        <w:rPr>
          <w:rFonts w:ascii="方正仿宋_GB2312" w:eastAsia="方正仿宋_GB2312" w:hAnsi="方正仿宋_GB2312" w:cs="方正仿宋_GB2312" w:hint="eastAsia"/>
          <w:sz w:val="24"/>
          <w:szCs w:val="24"/>
          <w:lang w:eastAsia="zh-CN"/>
        </w:rPr>
        <w:lastRenderedPageBreak/>
        <w:t xml:space="preserve">公斤/亩）增产约73公斤/亩、增幅58%，实现每亩增收300元；同时改善了土壤环境，收获期土壤pH由播种前的9.66降至9.33，有机质含量由17.48 g/kg提高至18.77 g/kg，EC值由457.4 </w:t>
      </w:r>
      <w:proofErr w:type="spellStart"/>
      <w:r>
        <w:rPr>
          <w:rFonts w:ascii="方正仿宋_GB2312" w:eastAsia="方正仿宋_GB2312" w:hAnsi="方正仿宋_GB2312" w:cs="方正仿宋_GB2312" w:hint="eastAsia"/>
          <w:sz w:val="24"/>
          <w:szCs w:val="24"/>
        </w:rPr>
        <w:t>μ</w:t>
      </w:r>
      <w:r>
        <w:rPr>
          <w:rFonts w:ascii="方正仿宋_GB2312" w:eastAsia="方正仿宋_GB2312" w:hAnsi="方正仿宋_GB2312" w:cs="方正仿宋_GB2312" w:hint="eastAsia"/>
          <w:sz w:val="24"/>
          <w:szCs w:val="24"/>
          <w:lang w:eastAsia="zh-CN"/>
        </w:rPr>
        <w:t>S</w:t>
      </w:r>
      <w:proofErr w:type="spellEnd"/>
      <w:r>
        <w:rPr>
          <w:rFonts w:ascii="方正仿宋_GB2312" w:eastAsia="方正仿宋_GB2312" w:hAnsi="方正仿宋_GB2312" w:cs="方正仿宋_GB2312" w:hint="eastAsia"/>
          <w:sz w:val="24"/>
          <w:szCs w:val="24"/>
          <w:lang w:eastAsia="zh-CN"/>
        </w:rPr>
        <w:t xml:space="preserve">/cm下降至302.33 </w:t>
      </w:r>
      <w:proofErr w:type="spellStart"/>
      <w:r>
        <w:rPr>
          <w:rFonts w:ascii="方正仿宋_GB2312" w:eastAsia="方正仿宋_GB2312" w:hAnsi="方正仿宋_GB2312" w:cs="方正仿宋_GB2312" w:hint="eastAsia"/>
          <w:sz w:val="24"/>
          <w:szCs w:val="24"/>
        </w:rPr>
        <w:t>μ</w:t>
      </w:r>
      <w:r>
        <w:rPr>
          <w:rFonts w:ascii="方正仿宋_GB2312" w:eastAsia="方正仿宋_GB2312" w:hAnsi="方正仿宋_GB2312" w:cs="方正仿宋_GB2312" w:hint="eastAsia"/>
          <w:sz w:val="24"/>
          <w:szCs w:val="24"/>
          <w:lang w:eastAsia="zh-CN"/>
        </w:rPr>
        <w:t>S</w:t>
      </w:r>
      <w:proofErr w:type="spellEnd"/>
      <w:r>
        <w:rPr>
          <w:rFonts w:ascii="方正仿宋_GB2312" w:eastAsia="方正仿宋_GB2312" w:hAnsi="方正仿宋_GB2312" w:cs="方正仿宋_GB2312" w:hint="eastAsia"/>
          <w:sz w:val="24"/>
          <w:szCs w:val="24"/>
          <w:lang w:eastAsia="zh-CN"/>
        </w:rPr>
        <w:t>/cm。继续增加中量元素水溶肥、流体钙等的VE-V6+R1-R5与VE-V6+R1-R7处理，产量未进一步显著提高。据此，2026年起采用VE-V6+R1-R3施肥模式，将滴灌次数由6次减至4次，在保障增产的同时实现节本增效。</w:t>
      </w:r>
    </w:p>
    <w:p w14:paraId="5D7D22CC" w14:textId="77777777" w:rsidR="00511120" w:rsidRDefault="00000000">
      <w:pPr>
        <w:keepNext/>
        <w:spacing w:before="120" w:after="60"/>
        <w:jc w:val="center"/>
      </w:pPr>
      <w:r>
        <w:rPr>
          <w:noProof/>
        </w:rPr>
        <w:drawing>
          <wp:inline distT="0" distB="0" distL="0" distR="0" wp14:anchorId="41F22A0F" wp14:editId="02444E08">
            <wp:extent cx="4500000" cy="2217841"/>
            <wp:effectExtent l="0" t="0" r="0" b="0"/>
            <wp:docPr id="5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g18_para120.png"/>
                    <pic:cNvPicPr/>
                  </pic:nvPicPr>
                  <pic:blipFill>
                    <a:blip r:embed="rId26"/>
                    <a:stretch>
                      <a:fillRect/>
                    </a:stretch>
                  </pic:blipFill>
                  <pic:spPr>
                    <a:xfrm>
                      <a:off x="0" y="0"/>
                      <a:ext cx="4500000" cy="2217841"/>
                    </a:xfrm>
                    <a:prstGeom prst="rect">
                      <a:avLst/>
                    </a:prstGeom>
                  </pic:spPr>
                </pic:pic>
              </a:graphicData>
            </a:graphic>
          </wp:inline>
        </w:drawing>
      </w:r>
    </w:p>
    <w:p w14:paraId="24ACC3ED" w14:textId="77777777" w:rsidR="00511120" w:rsidRDefault="00000000">
      <w:pPr>
        <w:keepLines/>
        <w:spacing w:before="60" w:after="180"/>
        <w:jc w:val="center"/>
        <w:rPr>
          <w:lang w:eastAsia="zh-CN"/>
        </w:rPr>
      </w:pPr>
      <w:r>
        <w:rPr>
          <w:rFonts w:ascii="宋体" w:eastAsia="宋体" w:hAnsi="宋体" w:hint="eastAsia"/>
          <w:b/>
          <w:lang w:eastAsia="zh-CN"/>
        </w:rPr>
        <w:t>图8  不同时期滴灌肥料示意图</w:t>
      </w:r>
    </w:p>
    <w:p w14:paraId="12E53072" w14:textId="77777777" w:rsidR="00511120" w:rsidRDefault="00000000">
      <w:pPr>
        <w:keepNext/>
        <w:spacing w:before="120" w:after="60"/>
        <w:jc w:val="center"/>
      </w:pPr>
      <w:r>
        <w:rPr>
          <w:noProof/>
        </w:rPr>
        <w:drawing>
          <wp:inline distT="0" distB="0" distL="0" distR="0" wp14:anchorId="11724574" wp14:editId="67DF1DA0">
            <wp:extent cx="5040000" cy="1942197"/>
            <wp:effectExtent l="0" t="0" r="0" b="0"/>
            <wp:docPr id="5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g19_para123.png"/>
                    <pic:cNvPicPr/>
                  </pic:nvPicPr>
                  <pic:blipFill>
                    <a:blip r:embed="rId27"/>
                    <a:stretch>
                      <a:fillRect/>
                    </a:stretch>
                  </pic:blipFill>
                  <pic:spPr>
                    <a:xfrm>
                      <a:off x="0" y="0"/>
                      <a:ext cx="5040000" cy="1942197"/>
                    </a:xfrm>
                    <a:prstGeom prst="rect">
                      <a:avLst/>
                    </a:prstGeom>
                  </pic:spPr>
                </pic:pic>
              </a:graphicData>
            </a:graphic>
          </wp:inline>
        </w:drawing>
      </w:r>
    </w:p>
    <w:p w14:paraId="7D80349E" w14:textId="77777777" w:rsidR="00511120" w:rsidRDefault="00000000">
      <w:pPr>
        <w:keepLines/>
        <w:spacing w:before="60" w:after="180"/>
        <w:jc w:val="center"/>
        <w:rPr>
          <w:lang w:eastAsia="zh-CN"/>
        </w:rPr>
      </w:pPr>
      <w:r>
        <w:rPr>
          <w:rFonts w:ascii="宋体" w:eastAsia="宋体" w:hAnsi="宋体" w:hint="eastAsia"/>
          <w:b/>
          <w:lang w:eastAsia="zh-CN"/>
        </w:rPr>
        <w:t>图9  盐碱地大豆施肥方案优化</w:t>
      </w:r>
    </w:p>
    <w:p w14:paraId="3A6F7BDF"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在全生育期滴灌施肥基础上，于鼓粒初期增施一次叶面肥，旨在增强生育后期源—库间养分转运效率、减少花荚脱落。与全生育期滴灌施肥相比，全生育期</w:t>
      </w:r>
      <w:r>
        <w:rPr>
          <w:rFonts w:ascii="方正仿宋_GB2312" w:eastAsia="方正仿宋_GB2312" w:hAnsi="方正仿宋_GB2312" w:cs="方正仿宋_GB2312" w:hint="eastAsia"/>
          <w:sz w:val="24"/>
          <w:szCs w:val="24"/>
          <w:lang w:eastAsia="zh-CN"/>
        </w:rPr>
        <w:lastRenderedPageBreak/>
        <w:t>滴灌施肥+叶面肥处理使大豆产量由200.36公斤/亩提高至213.72公斤/亩，增产6.7%。</w:t>
      </w:r>
    </w:p>
    <w:p w14:paraId="61EFF832" w14:textId="77777777" w:rsidR="00511120" w:rsidRDefault="00000000">
      <w:pPr>
        <w:keepNext/>
        <w:spacing w:before="120" w:after="60"/>
        <w:jc w:val="center"/>
      </w:pPr>
      <w:r>
        <w:rPr>
          <w:noProof/>
        </w:rPr>
        <w:drawing>
          <wp:inline distT="0" distB="0" distL="0" distR="0" wp14:anchorId="75807397" wp14:editId="5BDF5A58">
            <wp:extent cx="4500000" cy="1738794"/>
            <wp:effectExtent l="0" t="0" r="0" b="0"/>
            <wp:docPr id="5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g20_para125.png"/>
                    <pic:cNvPicPr/>
                  </pic:nvPicPr>
                  <pic:blipFill>
                    <a:blip r:embed="rId28"/>
                    <a:stretch>
                      <a:fillRect/>
                    </a:stretch>
                  </pic:blipFill>
                  <pic:spPr>
                    <a:xfrm>
                      <a:off x="0" y="0"/>
                      <a:ext cx="4500000" cy="1738794"/>
                    </a:xfrm>
                    <a:prstGeom prst="rect">
                      <a:avLst/>
                    </a:prstGeom>
                  </pic:spPr>
                </pic:pic>
              </a:graphicData>
            </a:graphic>
          </wp:inline>
        </w:drawing>
      </w:r>
    </w:p>
    <w:p w14:paraId="4E117C5E" w14:textId="77777777" w:rsidR="00511120" w:rsidRDefault="00000000">
      <w:pPr>
        <w:keepLines/>
        <w:spacing w:before="60" w:after="180"/>
        <w:jc w:val="center"/>
        <w:rPr>
          <w:lang w:eastAsia="zh-CN"/>
        </w:rPr>
      </w:pPr>
      <w:r>
        <w:rPr>
          <w:rFonts w:ascii="宋体" w:eastAsia="宋体" w:hAnsi="宋体" w:hint="eastAsia"/>
          <w:b/>
          <w:lang w:eastAsia="zh-CN"/>
        </w:rPr>
        <w:t>图10  全生育期滴灌肥料叠加喷施叶面肥提高大豆产量</w:t>
      </w:r>
    </w:p>
    <w:p w14:paraId="0FDCF2B3" w14:textId="77777777" w:rsidR="00511120" w:rsidRDefault="00000000">
      <w:pPr>
        <w:pStyle w:val="Heading2"/>
        <w:spacing w:before="180" w:after="90" w:line="360" w:lineRule="auto"/>
        <w:rPr>
          <w:rFonts w:ascii="黑体" w:hAnsi="黑体" w:cs="黑体"/>
          <w:sz w:val="24"/>
          <w:szCs w:val="24"/>
        </w:rPr>
      </w:pPr>
      <w:bookmarkStart w:id="11" w:name="_Toc243314996"/>
      <w:proofErr w:type="spellStart"/>
      <w:r>
        <w:rPr>
          <w:rFonts w:ascii="黑体" w:hAnsi="黑体" w:cs="黑体" w:hint="eastAsia"/>
          <w:sz w:val="24"/>
          <w:szCs w:val="24"/>
        </w:rPr>
        <w:t>技术经济论证</w:t>
      </w:r>
      <w:bookmarkEnd w:id="11"/>
      <w:proofErr w:type="spellEnd"/>
    </w:p>
    <w:p w14:paraId="2A577A9F"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 xml:space="preserve">1. 节水效益。浅埋滴灌实现精准灌溉，单次滴水量控制在15 m³/667 m²～25 m³/667 m²，出苗期20 m³/667 m²～30 m³/667 m²，较传统漫灌节水30%以上。水分直接输送至根层，减少深层渗漏，从源头抑制地下水位抬升和盐分表聚。2025年试验中，采用VE-V6+R1-R3施肥模式（滴灌4次，每次20 m³/667 m²～30 m³/667 m²）的东生118，收获期土壤EC值由播种前的457.4 </w:t>
      </w:r>
      <w:proofErr w:type="spellStart"/>
      <w:r>
        <w:rPr>
          <w:rFonts w:ascii="方正仿宋_GB2312" w:eastAsia="方正仿宋_GB2312" w:hAnsi="方正仿宋_GB2312" w:cs="方正仿宋_GB2312" w:hint="eastAsia"/>
          <w:sz w:val="24"/>
          <w:szCs w:val="24"/>
        </w:rPr>
        <w:t>μ</w:t>
      </w:r>
      <w:r>
        <w:rPr>
          <w:rFonts w:ascii="方正仿宋_GB2312" w:eastAsia="方正仿宋_GB2312" w:hAnsi="方正仿宋_GB2312" w:cs="方正仿宋_GB2312" w:hint="eastAsia"/>
          <w:sz w:val="24"/>
          <w:szCs w:val="24"/>
          <w:lang w:eastAsia="zh-CN"/>
        </w:rPr>
        <w:t>S</w:t>
      </w:r>
      <w:proofErr w:type="spellEnd"/>
      <w:r>
        <w:rPr>
          <w:rFonts w:ascii="方正仿宋_GB2312" w:eastAsia="方正仿宋_GB2312" w:hAnsi="方正仿宋_GB2312" w:cs="方正仿宋_GB2312" w:hint="eastAsia"/>
          <w:sz w:val="24"/>
          <w:szCs w:val="24"/>
          <w:lang w:eastAsia="zh-CN"/>
        </w:rPr>
        <w:t xml:space="preserve">/cm下降至302.33 </w:t>
      </w:r>
      <w:proofErr w:type="spellStart"/>
      <w:r>
        <w:rPr>
          <w:rFonts w:ascii="方正仿宋_GB2312" w:eastAsia="方正仿宋_GB2312" w:hAnsi="方正仿宋_GB2312" w:cs="方正仿宋_GB2312" w:hint="eastAsia"/>
          <w:sz w:val="24"/>
          <w:szCs w:val="24"/>
        </w:rPr>
        <w:t>μ</w:t>
      </w:r>
      <w:r>
        <w:rPr>
          <w:rFonts w:ascii="方正仿宋_GB2312" w:eastAsia="方正仿宋_GB2312" w:hAnsi="方正仿宋_GB2312" w:cs="方正仿宋_GB2312" w:hint="eastAsia"/>
          <w:sz w:val="24"/>
          <w:szCs w:val="24"/>
          <w:lang w:eastAsia="zh-CN"/>
        </w:rPr>
        <w:t>S</w:t>
      </w:r>
      <w:proofErr w:type="spellEnd"/>
      <w:r>
        <w:rPr>
          <w:rFonts w:ascii="方正仿宋_GB2312" w:eastAsia="方正仿宋_GB2312" w:hAnsi="方正仿宋_GB2312" w:cs="方正仿宋_GB2312" w:hint="eastAsia"/>
          <w:sz w:val="24"/>
          <w:szCs w:val="24"/>
          <w:lang w:eastAsia="zh-CN"/>
        </w:rPr>
        <w:t>/cm、降幅33.9%，节水与抑盐效果协同显现。</w:t>
      </w:r>
    </w:p>
    <w:p w14:paraId="7907E513"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2. 节肥效益。水肥一体化将肥料随水滴施，肥料利用率可提高20%～30%。苏打盐碱地磷素有效性低，通过提高磷素比例的复合肥配方和有机水溶肥的施用，可提高磷素利用效率。施肥时期试验表明，将滴灌次数由6次减至4次（VE-V6+R1-R3处理），产量未显著降低，较常规平播浅埋滴灌清水对照增产58%，实现“减次不减效”的节肥目标。</w:t>
      </w:r>
    </w:p>
    <w:p w14:paraId="3EEBF666"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3. 增产效益。2024年初步试验中，11个耐盐碱大豆品种采用小垄双行浅埋滴灌种植，产量为66.85公斤/亩～188.39公斤/亩，其中齐农7号亩产最高、达188.39公斤/亩。2025年优化试验中，晚熟品种东生118在41万株/hm²密</w:t>
      </w:r>
      <w:r>
        <w:rPr>
          <w:rFonts w:ascii="方正仿宋_GB2312" w:eastAsia="方正仿宋_GB2312" w:hAnsi="方正仿宋_GB2312" w:cs="方正仿宋_GB2312" w:hint="eastAsia"/>
          <w:sz w:val="24"/>
          <w:szCs w:val="24"/>
          <w:lang w:eastAsia="zh-CN"/>
        </w:rPr>
        <w:lastRenderedPageBreak/>
        <w:t>度下亩产达209.28公斤，较推荐密度21万株/hm²（196.60公斤/亩）增产6.4%；VE-V6+R1-R3处理下亩产200.36公斤，较CK增产58%、每亩增收300元；在此基础上于鼓粒初期增施一次叶面肥，产量可提高至213.72公斤/亩、增产6.7%。综合来看，采用本技术可使盐碱地大豆亩产稳定达到200公斤以上。</w:t>
      </w:r>
    </w:p>
    <w:p w14:paraId="7D58817D"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 xml:space="preserve">4. 改土效益。结合深翻施入腐熟牛粪、生物菌肥和黄腐酸钾等有机物料，可增加土壤有机质含量、改善土壤结构。2025年施肥时期试验中，VE-V6+R1-R3处理收获期土壤pH由9.66降至9.33，有机质含量由17.48 g/kg提高至18.77 g/kg，EC值由457.4 </w:t>
      </w:r>
      <w:proofErr w:type="spellStart"/>
      <w:r>
        <w:rPr>
          <w:rFonts w:ascii="方正仿宋_GB2312" w:eastAsia="方正仿宋_GB2312" w:hAnsi="方正仿宋_GB2312" w:cs="方正仿宋_GB2312" w:hint="eastAsia"/>
          <w:sz w:val="24"/>
          <w:szCs w:val="24"/>
        </w:rPr>
        <w:t>μ</w:t>
      </w:r>
      <w:r>
        <w:rPr>
          <w:rFonts w:ascii="方正仿宋_GB2312" w:eastAsia="方正仿宋_GB2312" w:hAnsi="方正仿宋_GB2312" w:cs="方正仿宋_GB2312" w:hint="eastAsia"/>
          <w:sz w:val="24"/>
          <w:szCs w:val="24"/>
          <w:lang w:eastAsia="zh-CN"/>
        </w:rPr>
        <w:t>S</w:t>
      </w:r>
      <w:proofErr w:type="spellEnd"/>
      <w:r>
        <w:rPr>
          <w:rFonts w:ascii="方正仿宋_GB2312" w:eastAsia="方正仿宋_GB2312" w:hAnsi="方正仿宋_GB2312" w:cs="方正仿宋_GB2312" w:hint="eastAsia"/>
          <w:sz w:val="24"/>
          <w:szCs w:val="24"/>
          <w:lang w:eastAsia="zh-CN"/>
        </w:rPr>
        <w:t xml:space="preserve">/cm下降至302.33 </w:t>
      </w:r>
      <w:proofErr w:type="spellStart"/>
      <w:r>
        <w:rPr>
          <w:rFonts w:ascii="方正仿宋_GB2312" w:eastAsia="方正仿宋_GB2312" w:hAnsi="方正仿宋_GB2312" w:cs="方正仿宋_GB2312" w:hint="eastAsia"/>
          <w:sz w:val="24"/>
          <w:szCs w:val="24"/>
        </w:rPr>
        <w:t>μ</w:t>
      </w:r>
      <w:r>
        <w:rPr>
          <w:rFonts w:ascii="方正仿宋_GB2312" w:eastAsia="方正仿宋_GB2312" w:hAnsi="方正仿宋_GB2312" w:cs="方正仿宋_GB2312" w:hint="eastAsia"/>
          <w:sz w:val="24"/>
          <w:szCs w:val="24"/>
          <w:lang w:eastAsia="zh-CN"/>
        </w:rPr>
        <w:t>S</w:t>
      </w:r>
      <w:proofErr w:type="spellEnd"/>
      <w:r>
        <w:rPr>
          <w:rFonts w:ascii="方正仿宋_GB2312" w:eastAsia="方正仿宋_GB2312" w:hAnsi="方正仿宋_GB2312" w:cs="方正仿宋_GB2312" w:hint="eastAsia"/>
          <w:sz w:val="24"/>
          <w:szCs w:val="24"/>
          <w:lang w:eastAsia="zh-CN"/>
        </w:rPr>
        <w:t>/cm，表明该技术模式在促进大豆生长的同时，具有降低土壤盐碱程度、提升土壤肥力的综合效应。</w:t>
      </w:r>
    </w:p>
    <w:p w14:paraId="476CA1D4" w14:textId="77777777" w:rsidR="00511120" w:rsidRDefault="00000000">
      <w:pPr>
        <w:pStyle w:val="Heading2"/>
        <w:spacing w:before="180" w:after="90" w:line="360" w:lineRule="auto"/>
        <w:rPr>
          <w:rFonts w:ascii="黑体" w:hAnsi="黑体" w:cs="黑体"/>
          <w:sz w:val="24"/>
          <w:szCs w:val="24"/>
        </w:rPr>
      </w:pPr>
      <w:bookmarkStart w:id="12" w:name="_Toc243314997"/>
      <w:proofErr w:type="spellStart"/>
      <w:r>
        <w:rPr>
          <w:rFonts w:ascii="黑体" w:hAnsi="黑体" w:cs="黑体" w:hint="eastAsia"/>
          <w:sz w:val="24"/>
          <w:szCs w:val="24"/>
        </w:rPr>
        <w:t>预期的经济效果</w:t>
      </w:r>
      <w:bookmarkEnd w:id="12"/>
      <w:proofErr w:type="spellEnd"/>
    </w:p>
    <w:p w14:paraId="2D8920F4"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一是显著提高盐碱地大豆单产。2025年密度筛选试验表明，东生118在41万株/hm²密度下亩产达209.28公斤，较推荐密度增产6.4%；施肥时期试验中VE-V6+R1-R3处理亩产200.36公斤，较常规平播浅埋滴灌清水对照增产58%；在此基础上增施一次叶面肥，产量可提高至213.72公斤/亩。采用本技术，盐碱地大豆亩产可稳定达到200公斤以上，按东北苏打盐碱地大豆种植面积测算，大面积推广后区域大豆总产可显著增加。</w:t>
      </w:r>
    </w:p>
    <w:p w14:paraId="00C1E971"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二是降低生产成本，实现节本增效。通过节水节肥，每亩可节约水肥成本50元～80元；将滴灌次数由6次减至4次后产量未显著降低，配合一次性完成播种、铺管、施肥的机械化作业，可减少人工投入，综合实现每亩增收300元左右。</w:t>
      </w:r>
    </w:p>
    <w:p w14:paraId="2A253B64"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lastRenderedPageBreak/>
        <w:t>三是促进盐碱地综合利用，提升耕地资源利用效率。本技术将低产苏打盐碱地转化为大豆高产田，试验中土壤pH、EC值下降、有机质提高，为盐碱地耕地质量提升和后备耕地资源开发利用提供了可行的技术路径，对保障区域大豆产能和耕地资源可持续利用具有积极意义。</w:t>
      </w:r>
    </w:p>
    <w:p w14:paraId="71642CAA" w14:textId="77777777" w:rsidR="00511120" w:rsidRDefault="00000000">
      <w:pPr>
        <w:pStyle w:val="Heading1"/>
        <w:spacing w:before="240" w:after="120" w:line="360" w:lineRule="auto"/>
        <w:rPr>
          <w:rFonts w:ascii="黑体" w:eastAsia="黑体" w:hAnsi="黑体" w:cs="黑体"/>
          <w:sz w:val="28"/>
          <w:szCs w:val="28"/>
          <w:lang w:eastAsia="zh-CN"/>
        </w:rPr>
      </w:pPr>
      <w:bookmarkStart w:id="13" w:name="_Toc243314998"/>
      <w:r>
        <w:rPr>
          <w:rFonts w:ascii="黑体" w:eastAsia="黑体" w:hAnsi="黑体" w:cs="黑体" w:hint="eastAsia"/>
          <w:sz w:val="28"/>
          <w:szCs w:val="28"/>
          <w:lang w:eastAsia="zh-CN"/>
        </w:rPr>
        <w:t>与国际、国外同类标准对比情况</w:t>
      </w:r>
      <w:bookmarkEnd w:id="13"/>
    </w:p>
    <w:p w14:paraId="2B126A16"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经检索，目前国际上尚无针对苏打盐碱地大豆小垄双行浅埋滴灌种植技术的同类标准。国际标准化组织（ISO）在农业灌溉领域发布的相关系列标准主要涉及灌溉设备技术要求和灌溉水质等通用性基础内容，未涉及具体作物的种植技术规程；国际上关于盐碱地农业的标准主要集中于盐渍土壤分类、灌溉水质等基础层面。本文件在技术内容上无对应的国际标准可供比对。</w:t>
      </w:r>
    </w:p>
    <w:p w14:paraId="7C7C94A5"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国内技术状况方面，浅埋滴灌种植技术在盐碱地大豆栽培中已有应用，主要包括：一是东北地区推广无膜浅埋滴灌水肥一体化大豆平播栽培模式；二是吉林省西部盐碱地采用大垄双行播种方式（垄宽120 cm、双行间距40 cm），配套浅埋滴灌进行水肥一体化管理；三是全国农业技术推广服务中心印发的《玉米大豆水肥一体化单产提升技术方案》将浅埋滴灌、膜下滴灌列为水肥一体化的重要手段，要求播后滴水出苗、确保苗全苗齐，全程按需分次均衡施用。</w:t>
      </w:r>
    </w:p>
    <w:p w14:paraId="525F8928"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国内标准建设方面，已发布DB15/T 2441—2021《大豆大垄密植浅埋滴灌栽培技术规程》、DB15/T 4134—2025《苏打盐碱地综合改良与利用技术规程》、DB15/T 3396—2024《西辽河灌区中轻度盐碱地玉米大豆轮作培肥技术规程》等地方标准，以及T/SDAS 263—2021《黄河三角洲轻中度盐碱地麦茬夏大豆栽培技术规程》、T/SDSNCH 077—2025《黄淮海盐碱地麦后夏大豆高产轻简</w:t>
      </w:r>
      <w:r>
        <w:rPr>
          <w:rFonts w:ascii="方正仿宋_GB2312" w:eastAsia="方正仿宋_GB2312" w:hAnsi="方正仿宋_GB2312" w:cs="方正仿宋_GB2312" w:hint="eastAsia"/>
          <w:sz w:val="24"/>
          <w:szCs w:val="24"/>
          <w:lang w:eastAsia="zh-CN"/>
        </w:rPr>
        <w:lastRenderedPageBreak/>
        <w:t>化栽培技术规程》、T/SAASS 333—2026《大豆种质苗期耐盐碱性鉴定技术规程》、DB23/T 3778—2024《寒地野生大豆耐盐碱性鉴定技术规程》等团体标准和地方标准。上述标准主要针对滨海盐土和新疆、黄淮海盐碱地，对东北以苏打盐碱为主的盐碱地针对性不足；DB15/T 2441—2021虽为区内浅埋滴灌大豆标准，但未涉及盐碱地场景；T/SAASS 333—2026、DB23/T 3778—2024为耐盐碱性鉴定方法标准，不涉及栽培技术。</w:t>
      </w:r>
    </w:p>
    <w:p w14:paraId="361DB041"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综上，本文件在制定过程中参考了DB15/T 2441—2021、DB15/T 4134—2025等标准的技术框架，结合东北苏打盐碱地实际进行了集成创新，填补了苏打盐碱地大豆浅埋滴灌种植技术标准的空白，总体达到国内同类标准的先进水平。</w:t>
      </w:r>
    </w:p>
    <w:p w14:paraId="2BFF7698" w14:textId="77777777" w:rsidR="00511120" w:rsidRDefault="00000000">
      <w:pPr>
        <w:pStyle w:val="Heading1"/>
        <w:spacing w:before="240" w:after="120" w:line="360" w:lineRule="auto"/>
        <w:rPr>
          <w:rFonts w:ascii="黑体" w:eastAsia="黑体" w:hAnsi="黑体" w:cs="黑体"/>
          <w:sz w:val="28"/>
          <w:szCs w:val="28"/>
          <w:lang w:eastAsia="zh-CN"/>
        </w:rPr>
      </w:pPr>
      <w:bookmarkStart w:id="14" w:name="_Toc243314999"/>
      <w:r>
        <w:rPr>
          <w:rFonts w:ascii="黑体" w:eastAsia="黑体" w:hAnsi="黑体" w:cs="黑体" w:hint="eastAsia"/>
          <w:sz w:val="28"/>
          <w:szCs w:val="28"/>
          <w:lang w:eastAsia="zh-CN"/>
        </w:rPr>
        <w:t>以国际标准为基础的起草情况</w:t>
      </w:r>
      <w:bookmarkEnd w:id="14"/>
    </w:p>
    <w:p w14:paraId="02757BEA"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本文件未以国际标准为基础起草，也未采用或引用国际标准、国外先进标准。主要原因：一是国际上尚无苏打盐碱地大豆种植技术规程类标准，无可对应的国际标准文本；二是本文件属区域性农业栽培技术规程，其技术参数与东北苏打盐碱地的土壤盐分组成、气候条件、品种布局和农机装备水平直接相关，国际标准的通用性条款难以适用；三是本文件的规范性引用文件均为我国现行国家标准和行业标准，技术上不存在与国际标准的衔接问题。</w:t>
      </w:r>
    </w:p>
    <w:p w14:paraId="701F798D"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经核查，本文件不存在未合规引用或采用国际标准的情形。</w:t>
      </w:r>
    </w:p>
    <w:p w14:paraId="02870340" w14:textId="77777777" w:rsidR="00511120" w:rsidRDefault="00000000">
      <w:pPr>
        <w:pStyle w:val="Heading1"/>
        <w:spacing w:before="240" w:after="120" w:line="360" w:lineRule="auto"/>
        <w:rPr>
          <w:rFonts w:ascii="黑体" w:eastAsia="黑体" w:hAnsi="黑体" w:cs="黑体"/>
          <w:sz w:val="28"/>
          <w:szCs w:val="28"/>
          <w:lang w:eastAsia="zh-CN"/>
        </w:rPr>
      </w:pPr>
      <w:bookmarkStart w:id="15" w:name="_Toc243315000"/>
      <w:r>
        <w:rPr>
          <w:rFonts w:ascii="黑体" w:eastAsia="黑体" w:hAnsi="黑体" w:cs="黑体" w:hint="eastAsia"/>
          <w:sz w:val="28"/>
          <w:szCs w:val="28"/>
          <w:lang w:eastAsia="zh-CN"/>
        </w:rPr>
        <w:t>标准重大分歧意见的处理经过和依据</w:t>
      </w:r>
      <w:bookmarkEnd w:id="15"/>
    </w:p>
    <w:p w14:paraId="10945D62"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本文件在立项评审及起草过程中，专家组和起草组围绕文本框架、参数确定和适用范围提出了多方面意见，主要集中在以下方面：一是关于标准的适用范围，建议去掉区域限制、扩大适用范围并聚焦行业痛点；二是关于文本框架，建议参</w:t>
      </w:r>
      <w:r>
        <w:rPr>
          <w:rFonts w:ascii="方正仿宋_GB2312" w:eastAsia="方正仿宋_GB2312" w:hAnsi="方正仿宋_GB2312" w:cs="方正仿宋_GB2312" w:hint="eastAsia"/>
          <w:sz w:val="24"/>
          <w:szCs w:val="24"/>
          <w:lang w:eastAsia="zh-CN"/>
        </w:rPr>
        <w:lastRenderedPageBreak/>
        <w:t>照现有大豆栽培技术规程的通用框架归并章节、精简条文体例；三是关于种植模式与机具配套，认为垄宽60 cm、行距15 cm～20 cm的小垄双行模式不利于大型机械作业，建议调整行距或垄宽；四是关于整地时序，建议明确以秋整地为主、避免春整地，并将深松与深翻区分设置；五是关于排水设施位置，建议将排盐排涝由田间管理前移至整地环节；六是关于滴灌管网铺设，建议补充干支管间距等具体参数，不应仅叙述播种后的连通操作；七是关于参数表达，建议以区间形式给出、减少指向性过强的企业产品配方；八是关于引用文件，建议精简引用的通用标准、提高条款可操作性；九是关于品种与药剂，建议以附录形式给出推荐清单；十是关于生产档案，建议明确记录内容与形式。</w:t>
      </w:r>
    </w:p>
    <w:p w14:paraId="26CF35BF"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对上述意见，起草组逐条研究处理：关于适用范围，已将标准名称中的区域限定删除，改为以土壤类型界定适用范围，并在范围一章增加“其他生态条件相近的盐碱地可参照执行”；关于文本框架，已按选地与整地、滴灌管网铺设、种子准备、播种、水肥管理、田间管理、病虫草害防治、收获、生产档案的顺序重构章节，将原独立成章的滴灌管网铺设并入整地之后，将回收滴灌带并入收获环节，将追肥按生育进程分列；关于种植模式，经论证维持垄宽60 cm的小垄双行模式，理由是本地现有小垄免耕播种机、铺管播种一体机均按60 cm幅宽配置，垄宽调整将导致机具全面改装、影响技术落地，同时在编制说明中说明大型机械适应性的后续验证安排，并在附录A中给出密度与种植要点的分区规定；关于整地时序，已明确以秋季整地为主，春季仅在无法秋整地时进行浅旋或轻耙；关于深松与深翻，已按“翻地20 cm～25 cm埋压有机物料、深松30 cm～35 cm打破犁底层、二者隔年进行”分列表述；关于排盐排涝，已从田间管理前移至整地环节，与排水沟、暗管排盐同步布设；关于参数表达，已将腐熟牛粪、复</w:t>
      </w:r>
      <w:r>
        <w:rPr>
          <w:rFonts w:ascii="方正仿宋_GB2312" w:eastAsia="方正仿宋_GB2312" w:hAnsi="方正仿宋_GB2312" w:cs="方正仿宋_GB2312" w:hint="eastAsia"/>
          <w:sz w:val="24"/>
          <w:szCs w:val="24"/>
          <w:lang w:eastAsia="zh-CN"/>
        </w:rPr>
        <w:lastRenderedPageBreak/>
        <w:t>合肥等用量调整为区间，删除指向特定企业的产品配方，改为按氮磷钾比例表述，商品有机肥和土壤改良剂用量以产品说明为准；关于引用文件，已删除与条款关联度不高的通用标准，保留种子质量、种子包衣、农药与肥料使用等与条款直接相关的8项标准；关于品种与药剂，已设资料性附录A给出密度分区与种植要点，防治药剂品种已在病虫草害防治一章直接列明，实际用药以产品登记范围和标签为准；关于生产档案，已明确记录环节清单和保存期限。</w:t>
      </w:r>
    </w:p>
    <w:p w14:paraId="764DB341"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相关处理结论经起草组会议确认，并在标准正文、资料性附录和本编制说明中予以体现。征求意见阶段收到的意见均为条文表述和编辑性修改建议，已逐条采纳或说明，未形成重大分歧。</w:t>
      </w:r>
    </w:p>
    <w:p w14:paraId="1DE2C0C6" w14:textId="77777777" w:rsidR="00511120" w:rsidRDefault="00000000">
      <w:pPr>
        <w:pStyle w:val="Heading1"/>
        <w:spacing w:before="240" w:after="120" w:line="360" w:lineRule="auto"/>
        <w:rPr>
          <w:rFonts w:ascii="黑体" w:eastAsia="黑体" w:hAnsi="黑体" w:cs="黑体"/>
          <w:sz w:val="28"/>
          <w:szCs w:val="28"/>
          <w:lang w:eastAsia="zh-CN"/>
        </w:rPr>
      </w:pPr>
      <w:bookmarkStart w:id="16" w:name="_Toc243315001"/>
      <w:r>
        <w:rPr>
          <w:rFonts w:ascii="黑体" w:eastAsia="黑体" w:hAnsi="黑体" w:cs="黑体" w:hint="eastAsia"/>
          <w:sz w:val="28"/>
          <w:szCs w:val="28"/>
          <w:lang w:eastAsia="zh-CN"/>
        </w:rPr>
        <w:t>与有关法律、行政法规及相关标准的关系</w:t>
      </w:r>
      <w:bookmarkEnd w:id="16"/>
    </w:p>
    <w:p w14:paraId="1F0A1EA9" w14:textId="77777777" w:rsidR="00511120" w:rsidRDefault="00000000">
      <w:pPr>
        <w:pStyle w:val="Heading2"/>
        <w:spacing w:before="180" w:after="90" w:line="360" w:lineRule="auto"/>
        <w:rPr>
          <w:rFonts w:ascii="黑体" w:hAnsi="黑体" w:cs="黑体"/>
          <w:sz w:val="24"/>
          <w:szCs w:val="24"/>
        </w:rPr>
      </w:pPr>
      <w:bookmarkStart w:id="17" w:name="_Toc243315002"/>
      <w:proofErr w:type="spellStart"/>
      <w:r>
        <w:rPr>
          <w:rFonts w:ascii="黑体" w:hAnsi="黑体" w:cs="黑体" w:hint="eastAsia"/>
          <w:sz w:val="24"/>
          <w:szCs w:val="24"/>
        </w:rPr>
        <w:t>与法律法规的关系</w:t>
      </w:r>
      <w:bookmarkEnd w:id="17"/>
      <w:proofErr w:type="spellEnd"/>
    </w:p>
    <w:p w14:paraId="6246EBBF"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本文件符合《中华人民共和国标准化法》《中华人民共和国农业法》《团体标准管理规定》等法律法规和规章的要求，符合国家关于盐碱地综合利用、耕地质量提升和大豆产能提升的政策导向。本文件为自愿采用的团体标准，不涉及行政许可事项，不与现行法律、行政法规的强制性规定相抵触。</w:t>
      </w:r>
    </w:p>
    <w:p w14:paraId="55CEDA9F" w14:textId="77777777" w:rsidR="00511120" w:rsidRDefault="00000000">
      <w:pPr>
        <w:pStyle w:val="Heading2"/>
        <w:spacing w:before="180" w:after="90" w:line="360" w:lineRule="auto"/>
        <w:rPr>
          <w:rFonts w:ascii="黑体" w:hAnsi="黑体" w:cs="黑体"/>
          <w:sz w:val="24"/>
          <w:szCs w:val="24"/>
        </w:rPr>
      </w:pPr>
      <w:bookmarkStart w:id="18" w:name="_Toc243315003"/>
      <w:proofErr w:type="spellStart"/>
      <w:r>
        <w:rPr>
          <w:rFonts w:ascii="黑体" w:hAnsi="黑体" w:cs="黑体" w:hint="eastAsia"/>
          <w:sz w:val="24"/>
          <w:szCs w:val="24"/>
        </w:rPr>
        <w:t>与相关标准的关系</w:t>
      </w:r>
      <w:bookmarkEnd w:id="18"/>
      <w:proofErr w:type="spellEnd"/>
    </w:p>
    <w:p w14:paraId="7BA5F69A"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本文件规范性引用了GB 4404.2《粮食作物种子 第2部分：豆类》、GB 12475《农药贮运、销售和使用的防毒规程》、GB/T 8321（所有部分）《农药合理使用准则》、GB/T 15671《农作物薄膜包衣种子技术条件》、NY/T 496《肥料合理使用准则 通则》、NY/T 1276《农药安全使用规范 总则》、NY/T 1997《除草剂安全使用技术规范 通则》、NY/T 2159《大豆主要病害防治技术规程》</w:t>
      </w:r>
      <w:r>
        <w:rPr>
          <w:rFonts w:ascii="方正仿宋_GB2312" w:eastAsia="方正仿宋_GB2312" w:hAnsi="方正仿宋_GB2312" w:cs="方正仿宋_GB2312" w:hint="eastAsia"/>
          <w:sz w:val="24"/>
          <w:szCs w:val="24"/>
          <w:lang w:eastAsia="zh-CN"/>
        </w:rPr>
        <w:lastRenderedPageBreak/>
        <w:t>共8项标准，均为现行有效版本。引用文件按国家标准、行业标准的顺序排列，与GB/T 1.1—2020的要求一致。</w:t>
      </w:r>
    </w:p>
    <w:p w14:paraId="28F260EA"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与DB15/T 2441—2021《大豆大垄密植浅埋滴灌栽培技术规程》在滴灌管网连接与试水、苗期滴水量、播种深度、播期温度指标等通用环节保持一致，在适用地类、垄型模式、群体调控方式、施肥体系和盐碱地专属技术环节上存在实质性差异，两者相互补充而非相互替代。与DB15/T 4134—2025《苏打盐碱地综合改良与利用技术规程》在苏打盐碱地改良方向和中度盐碱地大豆滴灌参数上协调一致，本文件在其宏观改良框架下细化大豆专项种植技术。与GB 4404.2、NY/T 496等引用标准无技术冲突。</w:t>
      </w:r>
    </w:p>
    <w:p w14:paraId="757CCB4B"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经比对，本文件的技术内容与现行国家标准、行业标准、地方标准不存在重复和矛盾，不涉及与强制性国家标准相冲突的内容。</w:t>
      </w:r>
    </w:p>
    <w:p w14:paraId="4F8FF7BA" w14:textId="77777777" w:rsidR="00511120" w:rsidRDefault="00000000">
      <w:pPr>
        <w:pStyle w:val="Heading1"/>
        <w:spacing w:before="240" w:after="120" w:line="360" w:lineRule="auto"/>
        <w:rPr>
          <w:rFonts w:ascii="黑体" w:eastAsia="黑体" w:hAnsi="黑体" w:cs="黑体"/>
          <w:sz w:val="28"/>
          <w:szCs w:val="28"/>
        </w:rPr>
      </w:pPr>
      <w:bookmarkStart w:id="19" w:name="_Toc243315004"/>
      <w:proofErr w:type="spellStart"/>
      <w:r>
        <w:rPr>
          <w:rFonts w:ascii="黑体" w:eastAsia="黑体" w:hAnsi="黑体" w:cs="黑体" w:hint="eastAsia"/>
          <w:sz w:val="28"/>
          <w:szCs w:val="28"/>
        </w:rPr>
        <w:t>涉及专利的有关说明</w:t>
      </w:r>
      <w:bookmarkEnd w:id="19"/>
      <w:proofErr w:type="spellEnd"/>
    </w:p>
    <w:p w14:paraId="611F8198"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经起草组核查，本文件的技术内容涉及起草单位已申请的一项发明专利，专利名称为“一种用于苏打盐碱地种植大豆的小垄双行浅埋滴灌栽培方法”，申请号为2025102302964，目前处于审查阶段。</w:t>
      </w:r>
    </w:p>
    <w:p w14:paraId="10BB9B0F"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根据《团体标准管理规定》和《国家标准涉及专利的管理规定（暂行）》的有关要求，起草单位已就上述专利作出专利实施许可声明，承诺在标准实施过程中以公平、合理、无歧视（FRAND）原则向任何单位或个人授予专利许可，并将在标准发布前按要求提交专利许可声明和专利披露声明。</w:t>
      </w:r>
    </w:p>
    <w:p w14:paraId="08384513"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lastRenderedPageBreak/>
        <w:t>本文件中的封闭除草配方（乙草胺+异噁草松+丙炔氟草胺复配制剂）与已登记的农药产品有效成分含量一致，起草组不主张相关知识产权；除上述专利外，未发现本文件涉及其他专利。</w:t>
      </w:r>
    </w:p>
    <w:p w14:paraId="71BEAD56" w14:textId="77777777" w:rsidR="00511120" w:rsidRDefault="00000000">
      <w:pPr>
        <w:pStyle w:val="Heading1"/>
        <w:spacing w:before="240" w:after="120" w:line="360" w:lineRule="auto"/>
        <w:rPr>
          <w:rFonts w:ascii="黑体" w:eastAsia="黑体" w:hAnsi="黑体" w:cs="黑体"/>
          <w:sz w:val="28"/>
          <w:szCs w:val="28"/>
          <w:lang w:eastAsia="zh-CN"/>
        </w:rPr>
      </w:pPr>
      <w:bookmarkStart w:id="20" w:name="_Toc243315005"/>
      <w:r>
        <w:rPr>
          <w:rFonts w:ascii="黑体" w:eastAsia="黑体" w:hAnsi="黑体" w:cs="黑体" w:hint="eastAsia"/>
          <w:sz w:val="28"/>
          <w:szCs w:val="28"/>
          <w:lang w:eastAsia="zh-CN"/>
        </w:rPr>
        <w:t>实施团体标准的要求及措施建议</w:t>
      </w:r>
      <w:bookmarkEnd w:id="20"/>
    </w:p>
    <w:p w14:paraId="3B0CA85D" w14:textId="77777777" w:rsidR="00511120" w:rsidRDefault="00000000">
      <w:pPr>
        <w:pStyle w:val="Heading2"/>
        <w:spacing w:before="180" w:after="90" w:line="360" w:lineRule="auto"/>
        <w:rPr>
          <w:rFonts w:ascii="黑体" w:hAnsi="黑体" w:cs="黑体"/>
          <w:sz w:val="24"/>
          <w:szCs w:val="24"/>
        </w:rPr>
      </w:pPr>
      <w:bookmarkStart w:id="21" w:name="_Toc243315006"/>
      <w:proofErr w:type="spellStart"/>
      <w:r>
        <w:rPr>
          <w:rFonts w:ascii="黑体" w:hAnsi="黑体" w:cs="黑体" w:hint="eastAsia"/>
          <w:sz w:val="24"/>
          <w:szCs w:val="24"/>
        </w:rPr>
        <w:t>组织措施</w:t>
      </w:r>
      <w:bookmarkEnd w:id="21"/>
      <w:proofErr w:type="spellEnd"/>
    </w:p>
    <w:p w14:paraId="6FA3D5D1"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建议由中国植物学会联合东北地区农业技术推广部门，组织标准宣贯培训，重点面向东北地区的大豆种植大户、家庭农场、农民专业合作社和基层农业技术人员；在苏打盐碱地集中分布区域建立标准应用示范区，通过现场观摩、田间学校和技术培训推动标准落地；同时引导种子、肥料、滴灌设备和农机服务企业按标准组织生产与服务。</w:t>
      </w:r>
    </w:p>
    <w:p w14:paraId="7B4EB18D" w14:textId="77777777" w:rsidR="00511120" w:rsidRDefault="00000000">
      <w:pPr>
        <w:pStyle w:val="Heading2"/>
        <w:spacing w:before="180" w:after="90" w:line="360" w:lineRule="auto"/>
        <w:rPr>
          <w:rFonts w:ascii="黑体" w:hAnsi="黑体" w:cs="黑体"/>
          <w:sz w:val="24"/>
          <w:szCs w:val="24"/>
        </w:rPr>
      </w:pPr>
      <w:bookmarkStart w:id="22" w:name="_Toc243315007"/>
      <w:proofErr w:type="spellStart"/>
      <w:r>
        <w:rPr>
          <w:rFonts w:ascii="黑体" w:hAnsi="黑体" w:cs="黑体" w:hint="eastAsia"/>
          <w:sz w:val="24"/>
          <w:szCs w:val="24"/>
        </w:rPr>
        <w:t>技术措施</w:t>
      </w:r>
      <w:bookmarkEnd w:id="22"/>
      <w:proofErr w:type="spellEnd"/>
    </w:p>
    <w:p w14:paraId="14FE6D87"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一是编制标准应用技术手册，将标准条文转化为通俗易懂的操作指南和农事历；二是针对轻度、中度、重度盐碱化地块，依据资料性附录A分别制定差异化的密度与配套技术方案；三是建立标准实施效果监测体系，跟踪记录应用标准后的产量、出苗率、土壤pH、EC值和有机质等指标变化，为标准修订积累数据；四是加强铺管播种一体机、过滤装置等配套装备的选型与调试指导，保证滴灌带埋深和管网铺设质量。</w:t>
      </w:r>
    </w:p>
    <w:p w14:paraId="7FBC9EE5" w14:textId="77777777" w:rsidR="00511120" w:rsidRDefault="00000000">
      <w:pPr>
        <w:pStyle w:val="Heading2"/>
        <w:spacing w:before="180" w:after="90" w:line="360" w:lineRule="auto"/>
        <w:rPr>
          <w:rFonts w:ascii="黑体" w:hAnsi="黑体" w:cs="黑体"/>
          <w:sz w:val="24"/>
          <w:szCs w:val="24"/>
          <w:lang w:eastAsia="zh-CN"/>
        </w:rPr>
      </w:pPr>
      <w:bookmarkStart w:id="23" w:name="_Toc243315008"/>
      <w:r>
        <w:rPr>
          <w:rFonts w:ascii="黑体" w:hAnsi="黑体" w:cs="黑体" w:hint="eastAsia"/>
          <w:sz w:val="24"/>
          <w:szCs w:val="24"/>
          <w:lang w:eastAsia="zh-CN"/>
        </w:rPr>
        <w:t>过渡办法与实施日期建议</w:t>
      </w:r>
      <w:bookmarkEnd w:id="23"/>
    </w:p>
    <w:p w14:paraId="0228A2A5"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建议本文件发布后设置3个月过渡期，自发布之日起3个月后实施，便于生产企业、种植主体和农技推广部门完成技术准备与培训。过渡期内，建议先在东北苏打盐碱地大豆种植核心县（旗）开展试点应用，积累经验后逐步扩大推广</w:t>
      </w:r>
      <w:r>
        <w:rPr>
          <w:rFonts w:ascii="方正仿宋_GB2312" w:eastAsia="方正仿宋_GB2312" w:hAnsi="方正仿宋_GB2312" w:cs="方正仿宋_GB2312" w:hint="eastAsia"/>
          <w:sz w:val="24"/>
          <w:szCs w:val="24"/>
          <w:lang w:eastAsia="zh-CN"/>
        </w:rPr>
        <w:lastRenderedPageBreak/>
        <w:t>范围。对于DB15/T 2441—2021的现有用户，可依据地块盐碱化程度选择继续执行原标准或采用本文件，两者不构成替代关系。</w:t>
      </w:r>
    </w:p>
    <w:p w14:paraId="6BF43356" w14:textId="77777777" w:rsidR="00511120" w:rsidRDefault="00000000">
      <w:pPr>
        <w:pStyle w:val="Heading1"/>
        <w:spacing w:before="240" w:after="120" w:line="360" w:lineRule="auto"/>
        <w:rPr>
          <w:rFonts w:ascii="黑体" w:eastAsia="黑体" w:hAnsi="黑体" w:cs="黑体"/>
          <w:sz w:val="28"/>
          <w:szCs w:val="28"/>
        </w:rPr>
      </w:pPr>
      <w:bookmarkStart w:id="24" w:name="_Toc243315009"/>
      <w:proofErr w:type="spellStart"/>
      <w:r>
        <w:rPr>
          <w:rFonts w:ascii="黑体" w:eastAsia="黑体" w:hAnsi="黑体" w:cs="黑体" w:hint="eastAsia"/>
          <w:sz w:val="28"/>
          <w:szCs w:val="28"/>
        </w:rPr>
        <w:t>其他应予说明的事项</w:t>
      </w:r>
      <w:bookmarkEnd w:id="24"/>
      <w:proofErr w:type="spellEnd"/>
    </w:p>
    <w:p w14:paraId="12624835"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（一）本文件为首次发布，不涉及对现行标准的修订，无新旧标准水平对比内容。</w:t>
      </w:r>
    </w:p>
    <w:p w14:paraId="5F78DB44"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（二）本文件不涉及需要取得行政许可的事项。</w:t>
      </w:r>
    </w:p>
    <w:p w14:paraId="3A809A84"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（三）附录A为资料性附录。附录A给出的密度分区供使用者结合当地有效积温、土壤盐碱程度和品种特性参考，具体密度应通过试验确定。</w:t>
      </w:r>
    </w:p>
    <w:p w14:paraId="72B4997C"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（四）本文件实施过程中如遇技术问题，可向中国植物学会或起草单位反馈，以便适时修订完善。</w:t>
      </w:r>
    </w:p>
    <w:p w14:paraId="15711A98"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（五）本文件的起草单位与起草人员名单，以中国植物学会立项批复文件为准，标准文本、编制说明及报批材料中的相关信息应保持一致。</w:t>
      </w:r>
    </w:p>
    <w:p w14:paraId="2F15E61A" w14:textId="77777777" w:rsidR="00511120" w:rsidRDefault="00000000">
      <w:pPr>
        <w:spacing w:line="360" w:lineRule="auto"/>
        <w:ind w:firstLineChars="200" w:firstLine="480"/>
        <w:jc w:val="both"/>
        <w:rPr>
          <w:rFonts w:ascii="方正仿宋_GB2312" w:eastAsia="方正仿宋_GB2312" w:hAnsi="方正仿宋_GB2312" w:cs="方正仿宋_GB2312"/>
          <w:sz w:val="24"/>
          <w:szCs w:val="24"/>
          <w:lang w:eastAsia="zh-CN"/>
        </w:rPr>
      </w:pPr>
      <w:r>
        <w:rPr>
          <w:rFonts w:ascii="方正仿宋_GB2312" w:eastAsia="方正仿宋_GB2312" w:hAnsi="方正仿宋_GB2312" w:cs="方正仿宋_GB2312" w:hint="eastAsia"/>
          <w:sz w:val="24"/>
          <w:szCs w:val="24"/>
          <w:lang w:eastAsia="zh-CN"/>
        </w:rPr>
        <w:t>（六）标准报批时，应同时提交测产报告、应用证明等佐证材料，作为编制说明的附件。</w:t>
      </w:r>
    </w:p>
    <w:p w14:paraId="762945B7" w14:textId="77777777" w:rsidR="00511120" w:rsidRDefault="00000000">
      <w:pPr>
        <w:spacing w:before="480" w:line="360" w:lineRule="auto"/>
        <w:ind w:right="480"/>
        <w:jc w:val="right"/>
        <w:rPr>
          <w:rFonts w:ascii="方正仿宋_GB2312" w:eastAsia="方正仿宋_GB2312" w:hAnsi="方正仿宋_GB2312"/>
          <w:sz w:val="24"/>
          <w:szCs w:val="24"/>
          <w:lang w:eastAsia="zh-CN"/>
        </w:rPr>
      </w:pPr>
      <w:r>
        <w:rPr>
          <w:rFonts w:ascii="方正仿宋_GB2312" w:eastAsia="方正仿宋_GB2312" w:hAnsi="方正仿宋_GB2312" w:hint="eastAsia"/>
          <w:sz w:val="24"/>
          <w:szCs w:val="24"/>
          <w:lang w:eastAsia="zh-CN"/>
        </w:rPr>
        <w:t>《苏打盐碱地大豆小垄双行浅埋滴灌种植技术》团体标准起草工作组</w:t>
      </w:r>
    </w:p>
    <w:p w14:paraId="28646841" w14:textId="77777777" w:rsidR="00511120" w:rsidRDefault="00000000">
      <w:pPr>
        <w:spacing w:line="360" w:lineRule="auto"/>
        <w:ind w:right="960"/>
        <w:jc w:val="right"/>
        <w:rPr>
          <w:rFonts w:ascii="方正仿宋_GB2312" w:eastAsia="方正仿宋_GB2312" w:hAnsi="方正仿宋_GB2312"/>
          <w:sz w:val="24"/>
          <w:szCs w:val="24"/>
        </w:rPr>
      </w:pPr>
      <w:r>
        <w:rPr>
          <w:rFonts w:ascii="方正仿宋_GB2312" w:eastAsia="方正仿宋_GB2312" w:hAnsi="方正仿宋_GB2312" w:hint="eastAsia"/>
          <w:sz w:val="24"/>
          <w:szCs w:val="24"/>
        </w:rPr>
        <w:t>2026年10月</w:t>
      </w:r>
    </w:p>
    <w:sectPr w:rsidR="005111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8C906" w14:textId="77777777" w:rsidR="00965A2C" w:rsidRDefault="00965A2C">
      <w:r>
        <w:separator/>
      </w:r>
    </w:p>
  </w:endnote>
  <w:endnote w:type="continuationSeparator" w:id="0">
    <w:p w14:paraId="0771734E" w14:textId="77777777" w:rsidR="00965A2C" w:rsidRDefault="00965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8FD58CCD-BA12-432F-B1E1-0A13BFCCAF6A}"/>
    <w:embedBold r:id="rId2" w:subsetted="1" w:fontKey="{500D8E10-CDBB-421A-8450-D1C023B782C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方正小标宋简体">
    <w:altName w:val="微软雅黑"/>
    <w:charset w:val="86"/>
    <w:family w:val="auto"/>
    <w:pitch w:val="default"/>
    <w:sig w:usb0="00000001" w:usb1="08000000" w:usb2="00000000" w:usb3="00000000" w:csb0="00040000" w:csb1="00000000"/>
  </w:font>
  <w:font w:name="方正仿宋_GB2312">
    <w:altName w:val="微软雅黑"/>
    <w:charset w:val="86"/>
    <w:family w:val="auto"/>
    <w:pitch w:val="default"/>
    <w:sig w:usb0="A00002BF" w:usb1="184F6CFA" w:usb2="00000012"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C1B53" w14:textId="77777777" w:rsidR="00511120" w:rsidRDefault="00511120">
    <w:pPr>
      <w:spacing w:line="176" w:lineRule="auto"/>
      <w:rPr>
        <w:rFonts w:ascii="Times New Roman" w:eastAsia="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4881C" w14:textId="77777777" w:rsidR="00965A2C" w:rsidRDefault="00965A2C">
      <w:r>
        <w:separator/>
      </w:r>
    </w:p>
  </w:footnote>
  <w:footnote w:type="continuationSeparator" w:id="0">
    <w:p w14:paraId="39C84682" w14:textId="77777777" w:rsidR="00965A2C" w:rsidRDefault="00965A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0D224" w14:textId="77777777" w:rsidR="00511120" w:rsidRDefault="00511120">
    <w:pPr>
      <w:pStyle w:val="BodyText"/>
      <w:spacing w:before="42" w:line="265" w:lineRule="exact"/>
      <w:jc w:val="both"/>
      <w:rPr>
        <w:position w:val="1"/>
        <w:sz w:val="20"/>
        <w:szCs w:val="20"/>
      </w:rPr>
    </w:pPr>
  </w:p>
  <w:p w14:paraId="70EA98E0" w14:textId="77777777" w:rsidR="00511120" w:rsidRDefault="00511120">
    <w:pPr>
      <w:pStyle w:val="BodyText"/>
      <w:spacing w:before="42" w:line="265" w:lineRule="exact"/>
      <w:jc w:val="both"/>
      <w:rPr>
        <w:position w:val="1"/>
        <w:sz w:val="20"/>
        <w:szCs w:val="20"/>
      </w:rPr>
    </w:pPr>
  </w:p>
  <w:p w14:paraId="72F7B57E" w14:textId="77777777" w:rsidR="00511120" w:rsidRDefault="00511120">
    <w:pPr>
      <w:pStyle w:val="BodyText"/>
      <w:spacing w:before="42" w:line="265" w:lineRule="exact"/>
      <w:jc w:val="right"/>
      <w:rPr>
        <w:rFonts w:eastAsia="宋体"/>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BAFBB" w14:textId="77777777" w:rsidR="00511120" w:rsidRDefault="00511120">
    <w:pPr>
      <w:pStyle w:val="BodyText"/>
      <w:spacing w:before="42" w:line="265" w:lineRule="exact"/>
      <w:jc w:val="both"/>
      <w:rPr>
        <w:position w:val="1"/>
        <w:sz w:val="20"/>
        <w:szCs w:val="20"/>
      </w:rPr>
    </w:pPr>
  </w:p>
  <w:p w14:paraId="1A415FAB" w14:textId="77777777" w:rsidR="00511120" w:rsidRDefault="00000000">
    <w:pPr>
      <w:pStyle w:val="BodyText"/>
      <w:spacing w:before="42" w:line="265" w:lineRule="exact"/>
      <w:jc w:val="right"/>
      <w:rPr>
        <w:position w:val="1"/>
        <w:sz w:val="20"/>
        <w:szCs w:val="20"/>
        <w:lang w:eastAsia="zh-CN"/>
      </w:rPr>
    </w:pPr>
    <w:r>
      <w:rPr>
        <w:rFonts w:hint="eastAsia"/>
        <w:position w:val="1"/>
        <w:sz w:val="20"/>
        <w:szCs w:val="20"/>
        <w:lang w:eastAsia="zh-CN"/>
      </w:rPr>
      <w:tab/>
    </w:r>
  </w:p>
  <w:p w14:paraId="58FFE894" w14:textId="77777777" w:rsidR="00511120" w:rsidRDefault="00000000">
    <w:pPr>
      <w:pStyle w:val="BodyText"/>
      <w:spacing w:before="42" w:line="265" w:lineRule="exact"/>
      <w:jc w:val="right"/>
      <w:rPr>
        <w:rFonts w:eastAsia="宋体"/>
        <w:lang w:eastAsia="zh-CN"/>
      </w:rPr>
    </w:pPr>
    <w:r>
      <w:rPr>
        <w:position w:val="1"/>
        <w:sz w:val="20"/>
        <w:szCs w:val="20"/>
      </w:rPr>
      <w:t>T/</w:t>
    </w:r>
    <w:r>
      <w:rPr>
        <w:rFonts w:hint="eastAsia"/>
        <w:position w:val="1"/>
        <w:sz w:val="20"/>
        <w:szCs w:val="20"/>
        <w:lang w:eastAsia="zh-CN"/>
      </w:rPr>
      <w:t>BSC</w:t>
    </w:r>
    <w:r>
      <w:rPr>
        <w:position w:val="1"/>
        <w:sz w:val="20"/>
        <w:szCs w:val="20"/>
      </w:rPr>
      <w:t xml:space="preserve"> XXXX</w:t>
    </w:r>
    <w:r>
      <w:rPr>
        <w:rFonts w:ascii="Times New Roman" w:eastAsia="Times New Roman" w:hAnsi="Times New Roman" w:cs="Times New Roman"/>
        <w:spacing w:val="18"/>
        <w:position w:val="1"/>
        <w:sz w:val="20"/>
        <w:szCs w:val="20"/>
      </w:rPr>
      <w:t>—</w:t>
    </w:r>
    <w:r>
      <w:rPr>
        <w:rFonts w:eastAsia="宋体" w:hint="eastAsia"/>
        <w:position w:val="1"/>
        <w:sz w:val="20"/>
        <w:szCs w:val="20"/>
        <w:lang w:eastAsia="zh-CN"/>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0E641"/>
    <w:multiLevelType w:val="multilevel"/>
    <w:tmpl w:val="1500E641"/>
    <w:lvl w:ilvl="0">
      <w:start w:val="1"/>
      <w:numFmt w:val="chineseCounting"/>
      <w:pStyle w:val="Heading1"/>
      <w:suff w:val="nothing"/>
      <w:lvlText w:val="%1、"/>
      <w:lvlJc w:val="left"/>
      <w:pPr>
        <w:ind w:left="0" w:firstLine="0"/>
      </w:pPr>
      <w:rPr>
        <w:rFonts w:hint="eastAsia"/>
        <w:b/>
        <w:bCs/>
        <w:color w:val="auto"/>
        <w:sz w:val="28"/>
        <w:szCs w:val="28"/>
        <w:highlight w:val="none"/>
      </w:rPr>
    </w:lvl>
    <w:lvl w:ilvl="1">
      <w:start w:val="1"/>
      <w:numFmt w:val="chineseCounting"/>
      <w:pStyle w:val="Heading2"/>
      <w:suff w:val="nothing"/>
      <w:lvlText w:val="（%2）"/>
      <w:lvlJc w:val="left"/>
      <w:pPr>
        <w:ind w:left="0" w:firstLine="0"/>
      </w:pPr>
      <w:rPr>
        <w:rFonts w:hint="eastAsia"/>
      </w:rPr>
    </w:lvl>
    <w:lvl w:ilvl="2">
      <w:start w:val="1"/>
      <w:numFmt w:val="decimal"/>
      <w:pStyle w:val="Heading3"/>
      <w:suff w:val="nothing"/>
      <w:lvlText w:val="%3．"/>
      <w:lvlJc w:val="left"/>
      <w:pPr>
        <w:ind w:left="0" w:firstLine="400"/>
      </w:pPr>
      <w:rPr>
        <w:rFonts w:hint="eastAsia"/>
      </w:rPr>
    </w:lvl>
    <w:lvl w:ilvl="3">
      <w:start w:val="1"/>
      <w:numFmt w:val="decimal"/>
      <w:pStyle w:val="Heading4"/>
      <w:suff w:val="nothing"/>
      <w:lvlText w:val="（%4）"/>
      <w:lvlJc w:val="left"/>
      <w:pPr>
        <w:ind w:left="0" w:firstLine="402"/>
      </w:pPr>
      <w:rPr>
        <w:rFonts w:hint="eastAsia"/>
      </w:rPr>
    </w:lvl>
    <w:lvl w:ilvl="4">
      <w:start w:val="1"/>
      <w:numFmt w:val="decimalEnclosedCircleChinese"/>
      <w:pStyle w:val="Heading5"/>
      <w:suff w:val="nothing"/>
      <w:lvlText w:val="%5"/>
      <w:lvlJc w:val="left"/>
      <w:pPr>
        <w:ind w:left="0" w:firstLine="402"/>
      </w:pPr>
      <w:rPr>
        <w:rFonts w:hint="eastAsia"/>
      </w:rPr>
    </w:lvl>
    <w:lvl w:ilvl="5">
      <w:start w:val="1"/>
      <w:numFmt w:val="decimal"/>
      <w:pStyle w:val="Heading6"/>
      <w:suff w:val="nothing"/>
      <w:lvlText w:val="%6）"/>
      <w:lvlJc w:val="left"/>
      <w:pPr>
        <w:ind w:left="0" w:firstLine="402"/>
      </w:pPr>
      <w:rPr>
        <w:rFonts w:hint="eastAsia"/>
      </w:rPr>
    </w:lvl>
    <w:lvl w:ilvl="6">
      <w:start w:val="1"/>
      <w:numFmt w:val="lowerLetter"/>
      <w:pStyle w:val="Heading7"/>
      <w:suff w:val="nothing"/>
      <w:lvlText w:val="%7．"/>
      <w:lvlJc w:val="left"/>
      <w:pPr>
        <w:ind w:left="0" w:firstLine="402"/>
      </w:pPr>
      <w:rPr>
        <w:rFonts w:hint="eastAsia"/>
      </w:rPr>
    </w:lvl>
    <w:lvl w:ilvl="7">
      <w:start w:val="1"/>
      <w:numFmt w:val="lowerLetter"/>
      <w:pStyle w:val="Heading8"/>
      <w:suff w:val="nothing"/>
      <w:lvlText w:val="%8）"/>
      <w:lvlJc w:val="left"/>
      <w:pPr>
        <w:ind w:left="0" w:firstLine="402"/>
      </w:pPr>
      <w:rPr>
        <w:rFonts w:hint="eastAsia"/>
      </w:rPr>
    </w:lvl>
    <w:lvl w:ilvl="8">
      <w:start w:val="1"/>
      <w:numFmt w:val="lowerRoman"/>
      <w:pStyle w:val="Heading9"/>
      <w:suff w:val="nothing"/>
      <w:lvlText w:val="%9 "/>
      <w:lvlJc w:val="left"/>
      <w:pPr>
        <w:ind w:left="0" w:firstLine="402"/>
      </w:pPr>
      <w:rPr>
        <w:rFonts w:hint="eastAsia"/>
      </w:rPr>
    </w:lvl>
  </w:abstractNum>
  <w:num w:numId="1" w16cid:durableId="1484084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embedTrueTypeFonts/>
  <w:saveSubset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jdjYTUyOTUzMDY0NTg1MGMxZTc1N2FlMjNlM2QwNTEifQ=="/>
  </w:docVars>
  <w:rsids>
    <w:rsidRoot w:val="67AD523F"/>
    <w:rsid w:val="00017FCD"/>
    <w:rsid w:val="0005452F"/>
    <w:rsid w:val="00202EED"/>
    <w:rsid w:val="00204D13"/>
    <w:rsid w:val="0032751F"/>
    <w:rsid w:val="00366E8E"/>
    <w:rsid w:val="003A08E6"/>
    <w:rsid w:val="003D1EDB"/>
    <w:rsid w:val="00511120"/>
    <w:rsid w:val="0058440D"/>
    <w:rsid w:val="006A5139"/>
    <w:rsid w:val="00780F19"/>
    <w:rsid w:val="00965A2C"/>
    <w:rsid w:val="00980301"/>
    <w:rsid w:val="009A1488"/>
    <w:rsid w:val="009F1D75"/>
    <w:rsid w:val="00B44299"/>
    <w:rsid w:val="00B94569"/>
    <w:rsid w:val="00BA580D"/>
    <w:rsid w:val="00D30DF7"/>
    <w:rsid w:val="00D73B6C"/>
    <w:rsid w:val="00E93062"/>
    <w:rsid w:val="00F2262A"/>
    <w:rsid w:val="00FA618B"/>
    <w:rsid w:val="014F219D"/>
    <w:rsid w:val="020667FB"/>
    <w:rsid w:val="0270061D"/>
    <w:rsid w:val="02EC04F5"/>
    <w:rsid w:val="032B6D2D"/>
    <w:rsid w:val="0332621A"/>
    <w:rsid w:val="03D92B91"/>
    <w:rsid w:val="048E122E"/>
    <w:rsid w:val="05E63D93"/>
    <w:rsid w:val="06316315"/>
    <w:rsid w:val="09BF1E8A"/>
    <w:rsid w:val="0AC71FC2"/>
    <w:rsid w:val="0AEA1189"/>
    <w:rsid w:val="0B472137"/>
    <w:rsid w:val="0BC419DA"/>
    <w:rsid w:val="0CAF4438"/>
    <w:rsid w:val="0DC161D1"/>
    <w:rsid w:val="0F195492"/>
    <w:rsid w:val="107D2C91"/>
    <w:rsid w:val="12490E8B"/>
    <w:rsid w:val="13143247"/>
    <w:rsid w:val="15170DCC"/>
    <w:rsid w:val="152D239E"/>
    <w:rsid w:val="16BF171B"/>
    <w:rsid w:val="17127A9D"/>
    <w:rsid w:val="18277578"/>
    <w:rsid w:val="19836A30"/>
    <w:rsid w:val="19AE61BB"/>
    <w:rsid w:val="1A073B05"/>
    <w:rsid w:val="1BE00639"/>
    <w:rsid w:val="1C3D45B8"/>
    <w:rsid w:val="1D1F2F14"/>
    <w:rsid w:val="1D905BC0"/>
    <w:rsid w:val="1E8F40C9"/>
    <w:rsid w:val="21703D3E"/>
    <w:rsid w:val="21E62252"/>
    <w:rsid w:val="222334A6"/>
    <w:rsid w:val="223E3E3C"/>
    <w:rsid w:val="22BE4F7D"/>
    <w:rsid w:val="234A61BC"/>
    <w:rsid w:val="257A33DD"/>
    <w:rsid w:val="26C012C4"/>
    <w:rsid w:val="2B4D50F0"/>
    <w:rsid w:val="2B7F799F"/>
    <w:rsid w:val="2BEB59B4"/>
    <w:rsid w:val="2DB76734"/>
    <w:rsid w:val="2FDB0BC4"/>
    <w:rsid w:val="303F594F"/>
    <w:rsid w:val="3105047F"/>
    <w:rsid w:val="313A1C72"/>
    <w:rsid w:val="327A0EC0"/>
    <w:rsid w:val="32B829E5"/>
    <w:rsid w:val="33707BCD"/>
    <w:rsid w:val="339213EF"/>
    <w:rsid w:val="34BA7F55"/>
    <w:rsid w:val="35092088"/>
    <w:rsid w:val="378679C0"/>
    <w:rsid w:val="37D36081"/>
    <w:rsid w:val="38AF010E"/>
    <w:rsid w:val="3B984165"/>
    <w:rsid w:val="3D0F2205"/>
    <w:rsid w:val="42B15B0D"/>
    <w:rsid w:val="434846C3"/>
    <w:rsid w:val="45CF4C28"/>
    <w:rsid w:val="473200AB"/>
    <w:rsid w:val="4AB663B6"/>
    <w:rsid w:val="4C7E4CB1"/>
    <w:rsid w:val="4CBD1C7E"/>
    <w:rsid w:val="4D994499"/>
    <w:rsid w:val="4F8E345D"/>
    <w:rsid w:val="50125E3D"/>
    <w:rsid w:val="503C55AF"/>
    <w:rsid w:val="50611571"/>
    <w:rsid w:val="51273B6A"/>
    <w:rsid w:val="51C25640"/>
    <w:rsid w:val="5201085F"/>
    <w:rsid w:val="52572015"/>
    <w:rsid w:val="52862B12"/>
    <w:rsid w:val="53281E1B"/>
    <w:rsid w:val="555E08C6"/>
    <w:rsid w:val="56C854A7"/>
    <w:rsid w:val="5714060E"/>
    <w:rsid w:val="572D7A00"/>
    <w:rsid w:val="57722801"/>
    <w:rsid w:val="5AB521E6"/>
    <w:rsid w:val="5BE70AC5"/>
    <w:rsid w:val="5C844566"/>
    <w:rsid w:val="5D015BB7"/>
    <w:rsid w:val="5D992659"/>
    <w:rsid w:val="5FCF5AF8"/>
    <w:rsid w:val="5FEE4105"/>
    <w:rsid w:val="60293F4D"/>
    <w:rsid w:val="60C5514D"/>
    <w:rsid w:val="60E07891"/>
    <w:rsid w:val="620852F1"/>
    <w:rsid w:val="62A36DC8"/>
    <w:rsid w:val="65AB639C"/>
    <w:rsid w:val="65CD2ADA"/>
    <w:rsid w:val="66320B8F"/>
    <w:rsid w:val="66FC2F4B"/>
    <w:rsid w:val="67AD523F"/>
    <w:rsid w:val="685E6C22"/>
    <w:rsid w:val="692F4A46"/>
    <w:rsid w:val="69807E63"/>
    <w:rsid w:val="6CA200F0"/>
    <w:rsid w:val="6DFB5D0A"/>
    <w:rsid w:val="6E91041D"/>
    <w:rsid w:val="6F80422E"/>
    <w:rsid w:val="704F058F"/>
    <w:rsid w:val="70AE3508"/>
    <w:rsid w:val="70F96E79"/>
    <w:rsid w:val="72657123"/>
    <w:rsid w:val="748051BB"/>
    <w:rsid w:val="74B3391D"/>
    <w:rsid w:val="7657019E"/>
    <w:rsid w:val="769413F2"/>
    <w:rsid w:val="772A140E"/>
    <w:rsid w:val="77324E93"/>
    <w:rsid w:val="77825CE5"/>
    <w:rsid w:val="78ED4AD9"/>
    <w:rsid w:val="7A097A01"/>
    <w:rsid w:val="7A287E87"/>
    <w:rsid w:val="7CA5113E"/>
    <w:rsid w:val="7DDD54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68C277"/>
  <w15:docId w15:val="{93C9FC88-75E5-4F60-A7C0-5896736C3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djustRightInd w:val="0"/>
      <w:snapToGrid w:val="0"/>
      <w:textAlignment w:val="baseline"/>
    </w:pPr>
    <w:rPr>
      <w:rFonts w:ascii="Arial" w:eastAsia="Arial" w:hAnsi="Arial" w:cs="Arial"/>
      <w:snapToGrid w:val="0"/>
      <w:color w:val="000000"/>
      <w:sz w:val="21"/>
      <w:szCs w:val="21"/>
      <w:lang w:eastAsia="en-US"/>
    </w:rPr>
  </w:style>
  <w:style w:type="paragraph" w:styleId="Heading1">
    <w:name w:val="heading 1"/>
    <w:basedOn w:val="Normal"/>
    <w:next w:val="Normal"/>
    <w:qFormat/>
    <w:pPr>
      <w:keepNext/>
      <w:keepLines/>
      <w:numPr>
        <w:numId w:val="1"/>
      </w:numPr>
      <w:spacing w:before="340" w:after="330" w:line="576" w:lineRule="auto"/>
      <w:outlineLvl w:val="0"/>
    </w:pPr>
    <w:rPr>
      <w:b/>
      <w:kern w:val="44"/>
      <w:sz w:val="44"/>
    </w:rPr>
  </w:style>
  <w:style w:type="paragraph" w:styleId="Heading2">
    <w:name w:val="heading 2"/>
    <w:basedOn w:val="Normal"/>
    <w:next w:val="Normal"/>
    <w:unhideWhenUsed/>
    <w:qFormat/>
    <w:pPr>
      <w:keepNext/>
      <w:keepLines/>
      <w:numPr>
        <w:ilvl w:val="1"/>
        <w:numId w:val="1"/>
      </w:numPr>
      <w:spacing w:before="260" w:after="260" w:line="413" w:lineRule="auto"/>
      <w:outlineLvl w:val="1"/>
    </w:pPr>
    <w:rPr>
      <w:rFonts w:eastAsia="黑体"/>
      <w:b/>
      <w:sz w:val="32"/>
    </w:rPr>
  </w:style>
  <w:style w:type="paragraph" w:styleId="Heading3">
    <w:name w:val="heading 3"/>
    <w:basedOn w:val="Normal"/>
    <w:next w:val="Normal"/>
    <w:semiHidden/>
    <w:unhideWhenUsed/>
    <w:qFormat/>
    <w:pPr>
      <w:keepNext/>
      <w:keepLines/>
      <w:numPr>
        <w:ilvl w:val="2"/>
        <w:numId w:val="1"/>
      </w:numPr>
      <w:spacing w:before="260" w:after="260" w:line="413" w:lineRule="auto"/>
      <w:outlineLvl w:val="2"/>
    </w:pPr>
    <w:rPr>
      <w:b/>
      <w:sz w:val="32"/>
    </w:rPr>
  </w:style>
  <w:style w:type="paragraph" w:styleId="Heading4">
    <w:name w:val="heading 4"/>
    <w:basedOn w:val="Normal"/>
    <w:next w:val="Normal"/>
    <w:semiHidden/>
    <w:unhideWhenUsed/>
    <w:qFormat/>
    <w:pPr>
      <w:keepNext/>
      <w:keepLines/>
      <w:numPr>
        <w:ilvl w:val="3"/>
        <w:numId w:val="1"/>
      </w:numPr>
      <w:spacing w:before="280" w:after="290" w:line="372" w:lineRule="auto"/>
      <w:outlineLvl w:val="3"/>
    </w:pPr>
    <w:rPr>
      <w:rFonts w:eastAsia="黑体"/>
      <w:b/>
      <w:sz w:val="28"/>
    </w:rPr>
  </w:style>
  <w:style w:type="paragraph" w:styleId="Heading5">
    <w:name w:val="heading 5"/>
    <w:basedOn w:val="Normal"/>
    <w:next w:val="Normal"/>
    <w:semiHidden/>
    <w:unhideWhenUsed/>
    <w:qFormat/>
    <w:pPr>
      <w:keepNext/>
      <w:keepLines/>
      <w:numPr>
        <w:ilvl w:val="4"/>
        <w:numId w:val="1"/>
      </w:numPr>
      <w:spacing w:before="280" w:after="290" w:line="372" w:lineRule="auto"/>
      <w:outlineLvl w:val="4"/>
    </w:pPr>
    <w:rPr>
      <w:b/>
      <w:sz w:val="28"/>
    </w:rPr>
  </w:style>
  <w:style w:type="paragraph" w:styleId="Heading6">
    <w:name w:val="heading 6"/>
    <w:basedOn w:val="Normal"/>
    <w:next w:val="Normal"/>
    <w:semiHidden/>
    <w:unhideWhenUsed/>
    <w:qFormat/>
    <w:pPr>
      <w:keepNext/>
      <w:keepLines/>
      <w:numPr>
        <w:ilvl w:val="5"/>
        <w:numId w:val="1"/>
      </w:numPr>
      <w:spacing w:before="240" w:after="64" w:line="317" w:lineRule="auto"/>
      <w:outlineLvl w:val="5"/>
    </w:pPr>
    <w:rPr>
      <w:rFonts w:eastAsia="黑体"/>
      <w:b/>
      <w:sz w:val="24"/>
    </w:rPr>
  </w:style>
  <w:style w:type="paragraph" w:styleId="Heading7">
    <w:name w:val="heading 7"/>
    <w:basedOn w:val="Normal"/>
    <w:next w:val="Normal"/>
    <w:semiHidden/>
    <w:unhideWhenUsed/>
    <w:qFormat/>
    <w:pPr>
      <w:keepNext/>
      <w:keepLines/>
      <w:numPr>
        <w:ilvl w:val="6"/>
        <w:numId w:val="1"/>
      </w:numPr>
      <w:spacing w:before="240" w:after="64" w:line="317" w:lineRule="auto"/>
      <w:outlineLvl w:val="6"/>
    </w:pPr>
    <w:rPr>
      <w:b/>
      <w:sz w:val="24"/>
    </w:rPr>
  </w:style>
  <w:style w:type="paragraph" w:styleId="Heading8">
    <w:name w:val="heading 8"/>
    <w:basedOn w:val="Normal"/>
    <w:next w:val="Normal"/>
    <w:semiHidden/>
    <w:unhideWhenUsed/>
    <w:qFormat/>
    <w:pPr>
      <w:keepNext/>
      <w:keepLines/>
      <w:numPr>
        <w:ilvl w:val="7"/>
        <w:numId w:val="1"/>
      </w:numPr>
      <w:spacing w:before="240" w:after="64" w:line="317" w:lineRule="auto"/>
      <w:outlineLvl w:val="7"/>
    </w:pPr>
    <w:rPr>
      <w:rFonts w:eastAsia="黑体"/>
      <w:sz w:val="24"/>
    </w:rPr>
  </w:style>
  <w:style w:type="paragraph" w:styleId="Heading9">
    <w:name w:val="heading 9"/>
    <w:basedOn w:val="Normal"/>
    <w:next w:val="Normal"/>
    <w:semiHidden/>
    <w:unhideWhenUsed/>
    <w:qFormat/>
    <w:pPr>
      <w:keepNext/>
      <w:keepLines/>
      <w:numPr>
        <w:ilvl w:val="8"/>
        <w:numId w:val="1"/>
      </w:numPr>
      <w:spacing w:before="240" w:after="64" w:line="317" w:lineRule="auto"/>
      <w:outlineLvl w:val="8"/>
    </w:pPr>
    <w:rPr>
      <w:rFonts w:eastAsia="黑体"/>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E93062"/>
    <w:rPr>
      <w:rFonts w:ascii="Arial" w:eastAsia="Arial" w:hAnsi="Arial" w:cs="Arial"/>
      <w:snapToGrid w:val="0"/>
      <w:color w:val="000000"/>
      <w:sz w:val="21"/>
      <w:szCs w:val="21"/>
      <w:lang w:eastAsia="en-US"/>
    </w:rPr>
  </w:style>
  <w:style w:type="paragraph" w:styleId="Caption">
    <w:name w:val="caption"/>
    <w:basedOn w:val="Normal"/>
    <w:next w:val="Normal"/>
    <w:semiHidden/>
    <w:unhideWhenUsed/>
    <w:qFormat/>
    <w:rPr>
      <w:rFonts w:eastAsia="黑体"/>
      <w:sz w:val="20"/>
    </w:rPr>
  </w:style>
  <w:style w:type="paragraph" w:styleId="NormalWeb">
    <w:name w:val="Normal (Web)"/>
    <w:basedOn w:val="Normal"/>
    <w:uiPriority w:val="99"/>
    <w:unhideWhenUsed/>
    <w:qFormat/>
    <w:pPr>
      <w:spacing w:before="100" w:beforeAutospacing="1" w:after="100" w:afterAutospacing="1"/>
    </w:pPr>
    <w:rPr>
      <w:rFonts w:ascii="宋体" w:eastAsia="宋体" w:hAnsi="宋体" w:cs="宋体"/>
      <w:sz w:val="24"/>
      <w:szCs w:val="24"/>
    </w:rPr>
  </w:style>
  <w:style w:type="paragraph" w:styleId="Footer">
    <w:name w:val="footer"/>
    <w:basedOn w:val="Normal"/>
    <w:qFormat/>
    <w:pPr>
      <w:tabs>
        <w:tab w:val="center" w:pos="4153"/>
        <w:tab w:val="right" w:pos="8306"/>
      </w:tabs>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customStyle="1" w:styleId="a">
    <w:name w:val="标准文件_段"/>
    <w:qFormat/>
    <w:pPr>
      <w:autoSpaceDE w:val="0"/>
      <w:autoSpaceDN w:val="0"/>
      <w:ind w:firstLineChars="200" w:firstLine="200"/>
      <w:jc w:val="both"/>
    </w:pPr>
    <w:rPr>
      <w:rFonts w:ascii="宋体"/>
      <w:sz w:val="21"/>
    </w:rPr>
  </w:style>
  <w:style w:type="character" w:styleId="Hyperlink">
    <w:name w:val="Hyperlink"/>
    <w:basedOn w:val="DefaultParagraphFont"/>
    <w:uiPriority w:val="99"/>
    <w:unhideWhenUsed/>
    <w:rsid w:val="00E93062"/>
    <w:rPr>
      <w:color w:val="0026E5" w:themeColor="hyperlink"/>
      <w:u w:val="single"/>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uiPriority w:val="39"/>
    <w:qFormat/>
    <w:pPr>
      <w:ind w:leftChars="200" w:left="420"/>
    </w:pPr>
  </w:style>
  <w:style w:type="character" w:customStyle="1" w:styleId="2SimSun">
    <w:name w:val="正文文本 (2) + SimSun"/>
    <w:basedOn w:val="DefaultParagraphFont"/>
    <w:qFormat/>
    <w:rPr>
      <w:rFonts w:ascii="宋体" w:hAnsi="宋体" w:cs="宋体"/>
      <w:spacing w:val="10"/>
      <w:sz w:val="22"/>
      <w:szCs w:val="22"/>
      <w:u w:val="none"/>
    </w:rPr>
  </w:style>
  <w:style w:type="paragraph" w:styleId="PlainText">
    <w:name w:val="Plain Text"/>
    <w:basedOn w:val="Normal"/>
    <w:qFormat/>
    <w:rPr>
      <w:rFonts w:ascii="宋体" w:eastAsia="宋体" w:hAnsi="Courier New" w:cs="Courier New"/>
    </w:rPr>
  </w:style>
  <w:style w:type="paragraph" w:styleId="CommentText">
    <w:name w:val="annotation text"/>
    <w:basedOn w:val="Normal"/>
    <w:qFormat/>
  </w:style>
  <w:style w:type="paragraph" w:customStyle="1" w:styleId="a0">
    <w:name w:val="正文表标题"/>
    <w:next w:val="Normal"/>
    <w:qFormat/>
    <w:pPr>
      <w:tabs>
        <w:tab w:val="left" w:pos="360"/>
      </w:tabs>
      <w:jc w:val="center"/>
    </w:pPr>
    <w:rPr>
      <w:rFonts w:ascii="黑体" w:eastAsia="黑体" w:hAnsi="Calibri"/>
    </w:rPr>
  </w:style>
  <w:style w:type="paragraph" w:styleId="TOC1">
    <w:name w:val="toc 1"/>
    <w:basedOn w:val="Normal"/>
    <w:next w:val="Normal"/>
    <w:uiPriority w:val="39"/>
    <w:qFormat/>
  </w:style>
  <w:style w:type="paragraph" w:customStyle="1" w:styleId="a1">
    <w:name w:val="段"/>
    <w:qFormat/>
    <w:pPr>
      <w:tabs>
        <w:tab w:val="center" w:pos="4201"/>
        <w:tab w:val="right" w:leader="dot" w:pos="9298"/>
      </w:tabs>
      <w:overflowPunct w:val="0"/>
      <w:autoSpaceDE w:val="0"/>
      <w:autoSpaceDN w:val="0"/>
      <w:spacing w:line="360" w:lineRule="auto"/>
    </w:pPr>
    <w:rPr>
      <w:rFonts w:eastAsiaTheme="minorEastAsia"/>
      <w:sz w:val="21"/>
      <w:szCs w:val="21"/>
    </w:rPr>
  </w:style>
  <w:style w:type="paragraph" w:styleId="BodyText">
    <w:name w:val="Body Text"/>
    <w:basedOn w:val="Normal"/>
    <w:qFormat/>
    <w:rPr>
      <w:rFonts w:ascii="黑体" w:eastAsia="黑体" w:hAnsi="黑体" w:cs="黑体"/>
      <w:sz w:val="28"/>
      <w:szCs w:val="28"/>
    </w:rPr>
  </w:style>
  <w:style w:type="paragraph" w:styleId="ListParagraph">
    <w:name w:val="List Paragraph"/>
    <w:basedOn w:val="Normal"/>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header" Target="header1.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pn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28</Pages>
  <Words>2597</Words>
  <Characters>14803</Characters>
  <Application>Microsoft Office Word</Application>
  <DocSecurity>0</DocSecurity>
  <Lines>123</Lines>
  <Paragraphs>34</Paragraphs>
  <ScaleCrop>false</ScaleCrop>
  <Company/>
  <LinksUpToDate>false</LinksUpToDate>
  <CharactersWithSpaces>17366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c:creator>
  <cp:lastModifiedBy>fanli meng</cp:lastModifiedBy>
  <cp:revision>2</cp:revision>
  <dcterms:created xsi:type="dcterms:W3CDTF">2026-10-19T07:23:00Z</dcterms:created>
  <dcterms:modified xsi:type="dcterms:W3CDTF">2026-10-19T07:23:00Z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338FEEC82BDF4B5A85BB4995E1B603C4_13</vt:lpwstr>
  </property>
  <property fmtid="{D5CDD505-2E9C-101B-9397-08002B2CF9AE}" pid="4" name="KSOTemplateDocerSaveRecord">
    <vt:lpwstr>eyJoZGlkIjoiNDBmODIxMTdhMzMwYWFhYTFhYzkyMWIwNjQxMDIxMzYiLCJ1c2VySWQiOiIyNDk5MzQzNjgifQ==</vt:lpwstr>
  </property>
</Properties>
</file>