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7332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6CE2051">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黑体" w:hAnsi="黑体" w:eastAsia="黑体"/>
                <w:sz w:val="21"/>
                <w:szCs w:val="21"/>
              </w:rPr>
              <w:t xml:space="preserve"> </w:t>
            </w:r>
          </w:p>
        </w:tc>
        <w:tc>
          <w:tcPr>
            <w:tcW w:w="8855" w:type="dxa"/>
          </w:tcPr>
          <w:p w14:paraId="0CBABEB0">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点击此处添加ICS号</w:t>
            </w:r>
            <w:r>
              <w:rPr>
                <w:rFonts w:ascii="黑体" w:hAnsi="黑体" w:eastAsia="黑体"/>
                <w:sz w:val="21"/>
                <w:szCs w:val="21"/>
              </w:rPr>
              <w:fldChar w:fldCharType="end"/>
            </w:r>
            <w:bookmarkEnd w:id="0"/>
          </w:p>
        </w:tc>
      </w:tr>
      <w:tr w14:paraId="5FA0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2DDB680">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tbl>
            <w:tblPr>
              <w:tblStyle w:val="27"/>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50AF25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6EAF286F">
                  <w:pPr>
                    <w:pStyle w:val="177"/>
                    <w:framePr w:wrap="notBeside" w:vAnchor="page" w:hAnchor="page" w:x="1372" w:y="568"/>
                    <w:ind w:left="420" w:right="624"/>
                    <w:rPr>
                      <w:rFonts w:ascii="宋体" w:hAnsi="宋体"/>
                      <w:sz w:val="28"/>
                      <w:szCs w:val="28"/>
                    </w:rPr>
                  </w:pPr>
                  <w:r>
                    <w:t>T/</w:t>
                  </w:r>
                  <w:r>
                    <w:rPr>
                      <w:rFonts w:hint="eastAsia"/>
                    </w:rPr>
                    <w:t>BSC</w:t>
                  </w:r>
                </w:p>
              </w:tc>
            </w:tr>
          </w:tbl>
          <w:p w14:paraId="6A447745">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点击此处添加CCS号</w:t>
            </w:r>
            <w:r>
              <w:rPr>
                <w:rFonts w:ascii="黑体" w:hAnsi="黑体" w:eastAsia="黑体"/>
                <w:sz w:val="21"/>
                <w:szCs w:val="21"/>
              </w:rPr>
              <w:fldChar w:fldCharType="end"/>
            </w:r>
            <w:bookmarkEnd w:id="1"/>
          </w:p>
        </w:tc>
      </w:tr>
    </w:tbl>
    <w:p w14:paraId="2A43FED7">
      <w:pPr>
        <w:pStyle w:val="103"/>
        <w:framePr w:wrap="around"/>
        <w:rPr>
          <w:rFonts w:hint="eastAsia"/>
        </w:rPr>
      </w:pPr>
      <w:bookmarkStart w:id="2" w:name="OLE_LINK2"/>
      <w:r>
        <w:t>T/</w:t>
      </w:r>
      <w:r>
        <w:rPr>
          <w:rFonts w:hint="eastAsia"/>
        </w:rPr>
        <w:t>BSC</w:t>
      </w:r>
      <w:bookmarkEnd w:id="2"/>
      <w:r>
        <w:t xml:space="preserve"> </w:t>
      </w:r>
      <w:r>
        <w:fldChar w:fldCharType="begin">
          <w:ffData>
            <w:name w:val="NSTD_CODE_F"/>
            <w:enabled/>
            <w:calcOnExit w:val="0"/>
            <w:textInput>
              <w:default w:val="XXXX"/>
            </w:textInput>
          </w:ffData>
        </w:fldChar>
      </w:r>
      <w:bookmarkStart w:id="3" w:name="NSTD_CODE_F"/>
      <w:r>
        <w:instrText xml:space="preserve"> FORMTEXT </w:instrText>
      </w:r>
      <w:r>
        <w:fldChar w:fldCharType="separate"/>
      </w:r>
      <w:r>
        <w:t>XXXX</w:t>
      </w:r>
      <w:r>
        <w:fldChar w:fldCharType="end"/>
      </w:r>
      <w:bookmarkEnd w:id="3"/>
      <w:r>
        <w:rPr>
          <w:rFonts w:hAnsi="黑体"/>
        </w:rPr>
        <w:t>—</w:t>
      </w:r>
      <w:r>
        <w:rPr>
          <w:rFonts w:hint="eastAsia"/>
        </w:rPr>
        <w:t>2026</w:t>
      </w:r>
    </w:p>
    <w:p w14:paraId="0D944956">
      <w:pPr>
        <w:pStyle w:val="102"/>
        <w:framePr w:wrap="around"/>
        <w:rPr>
          <w:rFonts w:hAnsi="黑体"/>
        </w:rPr>
      </w:pPr>
      <w:r>
        <w:rPr>
          <w:rFonts w:hAnsi="黑体"/>
        </w:rPr>
        <w:fldChar w:fldCharType="begin">
          <w:ffData>
            <w:name w:val="OSTD_CODE"/>
            <w:enabled/>
            <w:calcOnExit w:val="0"/>
            <w:textInput/>
          </w:ffData>
        </w:fldChar>
      </w:r>
      <w:bookmarkStart w:id="4"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4"/>
    </w:p>
    <w:p w14:paraId="0CCE29CF">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4445" r="0" b="5080"/>
                <wp:wrapNone/>
                <wp:docPr id="2"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73"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4NJ&#10;ltgAAAAMAQAADwAAAAAAAAABACAAAAAiAAAAZHJzL2Rvd25yZXYueG1sUEsBAhQAFAAAAAgAh07i&#10;QJ4PFvvpAQAAuQMAAA4AAAAAAAAAAQAgAAAAJwEAAGRycy9lMm9Eb2MueG1sUEsFBgAAAAAGAAYA&#10;WQEAAIIFAAAAAA==&#10;">
                <v:fill on="f" focussize="0,0"/>
                <v:stroke color="#000000" joinstyle="round"/>
                <v:imagedata o:title=""/>
                <o:lock v:ext="edit" aspectratio="f"/>
              </v:line>
            </w:pict>
          </mc:Fallback>
        </mc:AlternateContent>
      </w:r>
    </w:p>
    <w:p w14:paraId="5C269B33">
      <w:pPr>
        <w:pStyle w:val="34"/>
        <w:framePr w:w="9639" w:h="6976" w:hRule="exact" w:hSpace="0" w:vSpace="0" w:wrap="around" w:vAnchor="text" w:hAnchor="page" w:y="6408"/>
        <w:jc w:val="center"/>
        <w:rPr>
          <w:rFonts w:ascii="黑体" w:hAnsi="黑体" w:eastAsia="黑体"/>
          <w:b w:val="0"/>
          <w:bCs w:val="0"/>
          <w:w w:val="100"/>
        </w:rPr>
      </w:pPr>
    </w:p>
    <w:p w14:paraId="501CEBC9">
      <w:pPr>
        <w:pStyle w:val="173"/>
        <w:framePr w:h="6974" w:hRule="exact" w:wrap="around" w:x="1419" w:anchorLock="1"/>
      </w:pPr>
      <w:r>
        <w:rPr>
          <w:rFonts w:hint="eastAsia"/>
        </w:rPr>
        <w:t>苏打盐碱地大豆小垄双行浅埋滴灌种植技术</w:t>
      </w:r>
    </w:p>
    <w:p w14:paraId="008E6C51">
      <w:pPr>
        <w:framePr w:w="9639" w:h="6974" w:hRule="exact" w:wrap="around" w:vAnchor="page" w:hAnchor="page" w:x="1419" w:y="6408" w:anchorLock="1"/>
        <w:ind w:left="-1418"/>
      </w:pPr>
    </w:p>
    <w:p w14:paraId="72DE2149">
      <w:pPr>
        <w:pStyle w:val="117"/>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Technical code of practice for soybean cultivation with small-ridge double-row shallow-buried drip irrigation in saline-alkaline soil"/>
            </w:textInput>
          </w:ffData>
        </w:fldChar>
      </w:r>
      <w:bookmarkStart w:id="5" w:name="ESTD_NAME"/>
      <w:r>
        <w:rPr>
          <w:rFonts w:eastAsia="黑体"/>
          <w:szCs w:val="28"/>
        </w:rPr>
        <w:instrText xml:space="preserve"> FORMTEXT </w:instrText>
      </w:r>
      <w:r>
        <w:rPr>
          <w:rFonts w:eastAsia="黑体"/>
          <w:szCs w:val="28"/>
        </w:rPr>
        <w:fldChar w:fldCharType="separate"/>
      </w:r>
      <w:r>
        <w:rPr>
          <w:rFonts w:eastAsia="黑体"/>
          <w:szCs w:val="28"/>
        </w:rPr>
        <w:t>Technical code of practice for soybean cultivation with small-ridge double-row shallow-buried drip irrigation in saline-alkaline soil</w:t>
      </w:r>
      <w:r>
        <w:rPr>
          <w:rFonts w:eastAsia="黑体"/>
          <w:szCs w:val="28"/>
        </w:rPr>
        <w:fldChar w:fldCharType="end"/>
      </w:r>
      <w:bookmarkEnd w:id="5"/>
    </w:p>
    <w:p w14:paraId="4EAFE0C3">
      <w:pPr>
        <w:pStyle w:val="117"/>
        <w:framePr w:w="9639" w:h="6974" w:hRule="exact" w:wrap="around" w:vAnchor="page" w:hAnchor="page" w:x="1419" w:y="6408" w:anchorLock="1"/>
        <w:jc w:val="both"/>
        <w:textAlignment w:val="bottom"/>
        <w:rPr>
          <w:rFonts w:eastAsia="黑体"/>
          <w:szCs w:val="28"/>
        </w:rPr>
      </w:pPr>
    </w:p>
    <w:p w14:paraId="08095E14">
      <w:pPr>
        <w:pStyle w:val="117"/>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6" w:name="下拉2"/>
      <w:r>
        <w:rPr>
          <w:b/>
          <w:sz w:val="21"/>
          <w:szCs w:val="28"/>
        </w:rPr>
        <w:instrText xml:space="preserve"> FORMDROPDOWN </w:instrText>
      </w:r>
      <w:r>
        <w:rPr>
          <w:b/>
          <w:sz w:val="21"/>
          <w:szCs w:val="28"/>
        </w:rPr>
        <w:fldChar w:fldCharType="separate"/>
      </w:r>
      <w:r>
        <w:rPr>
          <w:b/>
          <w:sz w:val="21"/>
          <w:szCs w:val="28"/>
        </w:rPr>
        <w:fldChar w:fldCharType="end"/>
      </w:r>
      <w:bookmarkEnd w:id="6"/>
    </w:p>
    <w:p w14:paraId="6A6AD0DF">
      <w:pPr>
        <w:pStyle w:val="59"/>
        <w:framePr w:wrap="around" w:y="14176"/>
      </w:pPr>
      <w:r>
        <w:rPr>
          <w:rFonts w:ascii="黑体"/>
        </w:rPr>
        <w:fldChar w:fldCharType="begin">
          <w:ffData>
            <w:name w:val="PLSH_DATE_Y"/>
            <w:enabled/>
            <w:calcOnExit w:val="0"/>
            <w:textInput>
              <w:default w:val="XXXX"/>
              <w:maxLength w:val="4"/>
            </w:textInput>
          </w:ffData>
        </w:fldChar>
      </w:r>
      <w:bookmarkStart w:id="7"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7"/>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8"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8"/>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9"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9"/>
      <w:r>
        <w:rPr>
          <w:rFonts w:hint="eastAsia"/>
        </w:rPr>
        <w:t>发布</w:t>
      </w:r>
    </w:p>
    <w:p w14:paraId="1EDBF047">
      <w:pPr>
        <w:pStyle w:val="146"/>
        <w:framePr w:wrap="around" w:y="14176"/>
      </w:pPr>
      <w:r>
        <w:rPr>
          <w:rFonts w:ascii="黑体"/>
        </w:rPr>
        <w:fldChar w:fldCharType="begin">
          <w:ffData>
            <w:name w:val="CROT_DATE_Y"/>
            <w:enabled/>
            <w:calcOnExit w:val="0"/>
            <w:textInput>
              <w:default w:val="XXXX"/>
              <w:maxLength w:val="4"/>
            </w:textInput>
          </w:ffData>
        </w:fldChar>
      </w:r>
      <w:bookmarkStart w:id="10"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0"/>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1"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1"/>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2"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2"/>
      <w:r>
        <w:rPr>
          <w:rFonts w:hint="eastAsia"/>
        </w:rPr>
        <w:t>实施</w:t>
      </w:r>
    </w:p>
    <w:p w14:paraId="769D9188">
      <w:pPr>
        <w:pStyle w:val="56"/>
        <w:framePr w:h="584" w:hRule="exact" w:hSpace="181" w:vSpace="181" w:wrap="around" w:y="14800"/>
        <w:rPr>
          <w:rFonts w:hAnsi="黑体"/>
        </w:rPr>
      </w:pPr>
      <w:r>
        <w:rPr>
          <w:rFonts w:hint="eastAsia" w:ascii="Times New Roman"/>
          <w:spacing w:val="20"/>
          <w:sz w:val="28"/>
          <w:szCs w:val="28"/>
        </w:rPr>
        <w:t>中国植物学</w:t>
      </w:r>
      <w:r>
        <w:rPr>
          <w:rFonts w:hint="eastAsia" w:hAnsi="黑体"/>
          <w:w w:val="100"/>
          <w:sz w:val="28"/>
        </w:rPr>
        <w:t>会</w:t>
      </w:r>
      <w:r>
        <w:rPr>
          <w:rFonts w:ascii="Times New Roman"/>
          <w:w w:val="100"/>
          <w:sz w:val="28"/>
        </w:rPr>
        <w:t>  </w:t>
      </w:r>
      <w:r>
        <w:rPr>
          <w:rStyle w:val="230"/>
          <w:rFonts w:hint="eastAsia" w:hAnsi="黑体"/>
          <w:position w:val="0"/>
        </w:rPr>
        <w:t>发</w:t>
      </w:r>
      <w:r>
        <w:rPr>
          <w:rStyle w:val="230"/>
          <w:rFonts w:hint="eastAsia" w:hAnsi="黑体"/>
          <w:spacing w:val="0"/>
          <w:position w:val="0"/>
        </w:rPr>
        <w:t>布</w:t>
      </w:r>
    </w:p>
    <w:p w14:paraId="15E50206">
      <w:pPr>
        <w:pStyle w:val="34"/>
        <w:framePr w:h="624" w:hRule="exact" w:hSpace="181" w:vSpace="181" w:wrap="around" w:hAnchor="page" w:x="813" w:y="2315"/>
        <w:rPr>
          <w:rFonts w:ascii="黑体" w:hAnsi="黑体" w:eastAsia="黑体"/>
          <w:b w:val="0"/>
          <w:bCs w:val="0"/>
          <w:w w:val="100"/>
          <w:sz w:val="48"/>
          <w:szCs w:val="48"/>
        </w:rPr>
      </w:pPr>
      <w:bookmarkStart w:id="13" w:name="_Hlk26473981"/>
      <w:r>
        <w:rPr>
          <w:rFonts w:hint="eastAsia" w:ascii="黑体" w:eastAsia="黑体"/>
          <w:b w:val="0"/>
          <w:w w:val="100"/>
          <w:sz w:val="48"/>
        </w:rPr>
        <w:t>团体</w:t>
      </w:r>
      <w:r>
        <w:rPr>
          <w:rFonts w:hint="eastAsia" w:ascii="黑体" w:hAnsi="黑体" w:eastAsia="黑体"/>
          <w:b w:val="0"/>
          <w:bCs w:val="0"/>
          <w:w w:val="100"/>
          <w:sz w:val="48"/>
          <w:szCs w:val="48"/>
        </w:rPr>
        <w:t>标准</w:t>
      </w:r>
    </w:p>
    <w:bookmarkEnd w:id="13"/>
    <w:p w14:paraId="0D8B5E26">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567" w:right="1134" w:bottom="1134" w:left="1134" w:header="1418" w:footer="1134" w:gutter="284"/>
          <w:cols w:space="720" w:num="1"/>
          <w:titlePg/>
          <w:docGrid w:linePitch="312" w:charSpace="0"/>
        </w:sectPr>
      </w:pPr>
      <w:bookmarkStart w:id="34" w:name="_GoBack"/>
      <w:bookmarkEnd w:id="34"/>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4445" r="0" b="5080"/>
                <wp:wrapNone/>
                <wp:docPr id="4"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a:effectLst/>
                      </wps:spPr>
                      <wps:bodyPr/>
                    </wps:wsp>
                  </a:graphicData>
                </a:graphic>
              </wp:anchor>
            </w:drawing>
          </mc:Choice>
          <mc:Fallback>
            <w:pict>
              <v:line id="直接连接符 5"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szHPvX&#10;AAAADgEAAA8AAAAAAAAAAQAgAAAAIgAAAGRycy9kb3ducmV2LnhtbFBLAQIUABQAAAAIAIdO4kBS&#10;jbbN6AEAALgDAAAOAAAAAAAAAAEAIAAAACYBAABkcnMvZTJvRG9jLnhtbFBLBQYAAAAABgAGAFkB&#10;AACABQAAAAA=&#10;">
                <v:fill on="f" focussize="0,0"/>
                <v:stroke color="#000000" joinstyle="round"/>
                <v:imagedata o:title=""/>
                <o:lock v:ext="edit" aspectratio="f"/>
                <w10:anchorlock/>
              </v:line>
            </w:pict>
          </mc:Fallback>
        </mc:AlternateContent>
      </w:r>
    </w:p>
    <w:p w14:paraId="36A79399">
      <w:pPr>
        <w:pStyle w:val="156"/>
        <w:spacing w:after="360"/>
      </w:pPr>
      <w:bookmarkStart w:id="14" w:name="BookMark1"/>
      <w:bookmarkStart w:id="15" w:name="_Toc21948"/>
      <w:r>
        <w:rPr>
          <w:rFonts w:hint="eastAsia"/>
          <w:spacing w:val="320"/>
        </w:rPr>
        <w:t>目</w:t>
      </w:r>
      <w:r>
        <w:rPr>
          <w:rFonts w:hint="eastAsia"/>
        </w:rPr>
        <w:t>次</w:t>
      </w:r>
    </w:p>
    <w:p w14:paraId="13C6AE25">
      <w:pPr>
        <w:pStyle w:val="19"/>
        <w:tabs>
          <w:tab w:val="right" w:leader="dot" w:pos="9345"/>
        </w:tabs>
        <w:rPr>
          <w:rFonts w:asciiTheme="minorHAnsi" w:hAnsiTheme="minorHAnsi" w:eastAsiaTheme="minorEastAsia" w:cstheme="minorBidi"/>
          <w:sz w:val="22"/>
          <w:szCs w:val="24"/>
          <w14:ligatures w14:val="standardContextual"/>
        </w:rPr>
      </w:pPr>
      <w:r>
        <w:rPr>
          <w:rFonts w:hint="eastAsia" w:hAnsi="宋体" w:cs="宋体"/>
        </w:rPr>
        <w:fldChar w:fldCharType="begin"/>
      </w:r>
      <w:r>
        <w:rPr>
          <w:rFonts w:hint="eastAsia" w:hAnsi="宋体" w:cs="宋体"/>
        </w:rPr>
        <w:instrText xml:space="preserve">TOC \o "1-1" \h \u </w:instrText>
      </w:r>
      <w:r>
        <w:rPr>
          <w:rFonts w:hint="eastAsia" w:hAnsi="宋体" w:cs="宋体"/>
        </w:rPr>
        <w:fldChar w:fldCharType="separate"/>
      </w:r>
      <w:r>
        <w:fldChar w:fldCharType="begin"/>
      </w:r>
      <w:r>
        <w:instrText xml:space="preserve"> HYPERLINK \l "_Toc243314974" </w:instrText>
      </w:r>
      <w:r>
        <w:fldChar w:fldCharType="separate"/>
      </w:r>
      <w:r>
        <w:rPr>
          <w:rStyle w:val="32"/>
          <w:spacing w:val="320"/>
        </w:rPr>
        <w:t>前</w:t>
      </w:r>
      <w:r>
        <w:rPr>
          <w:rStyle w:val="32"/>
        </w:rPr>
        <w:t>言</w:t>
      </w:r>
      <w:r>
        <w:tab/>
      </w:r>
      <w:r>
        <w:fldChar w:fldCharType="begin"/>
      </w:r>
      <w:r>
        <w:instrText xml:space="preserve"> PAGEREF _Toc243314974 \h </w:instrText>
      </w:r>
      <w:r>
        <w:fldChar w:fldCharType="separate"/>
      </w:r>
      <w:r>
        <w:t>II</w:t>
      </w:r>
      <w:r>
        <w:fldChar w:fldCharType="end"/>
      </w:r>
      <w:r>
        <w:fldChar w:fldCharType="end"/>
      </w:r>
    </w:p>
    <w:p w14:paraId="48136E66">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"_Toc243314975" </w:instrText>
      </w:r>
      <w:r>
        <w:fldChar w:fldCharType="separate"/>
      </w:r>
      <w:r>
        <w:rPr>
          <w:rStyle w:val="32"/>
          <w:spacing w:val="320"/>
        </w:rPr>
        <w:t>引</w:t>
      </w:r>
      <w:r>
        <w:rPr>
          <w:rStyle w:val="32"/>
        </w:rPr>
        <w:t>言</w:t>
      </w:r>
      <w:r>
        <w:tab/>
      </w:r>
      <w:r>
        <w:fldChar w:fldCharType="begin"/>
      </w:r>
      <w:r>
        <w:instrText xml:space="preserve"> PAGEREF _Toc243314975 \h </w:instrText>
      </w:r>
      <w:r>
        <w:fldChar w:fldCharType="separate"/>
      </w:r>
      <w:r>
        <w:t>II</w:t>
      </w:r>
      <w:r>
        <w:fldChar w:fldCharType="end"/>
      </w:r>
      <w:r>
        <w:fldChar w:fldCharType="end"/>
      </w:r>
    </w:p>
    <w:p w14:paraId="2C7F184C">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"_Toc243314976" </w:instrText>
      </w:r>
      <w:r>
        <w:fldChar w:fldCharType="separate"/>
      </w:r>
      <w:r>
        <w:rPr>
          <w:rStyle w:val="32"/>
        </w:rPr>
        <w:t>1 范围</w:t>
      </w:r>
      <w:r>
        <w:tab/>
      </w:r>
      <w:r>
        <w:fldChar w:fldCharType="begin"/>
      </w:r>
      <w:r>
        <w:instrText xml:space="preserve"> PAGEREF _Toc243314976 \h </w:instrText>
      </w:r>
      <w:r>
        <w:fldChar w:fldCharType="separate"/>
      </w:r>
      <w:r>
        <w:t>3</w:t>
      </w:r>
      <w:r>
        <w:fldChar w:fldCharType="end"/>
      </w:r>
      <w:r>
        <w:fldChar w:fldCharType="end"/>
      </w:r>
    </w:p>
    <w:p w14:paraId="22D3DBE6">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"_Toc243314977" </w:instrText>
      </w:r>
      <w:r>
        <w:fldChar w:fldCharType="separate"/>
      </w:r>
      <w:r>
        <w:rPr>
          <w:rStyle w:val="32"/>
        </w:rPr>
        <w:t>2 规范性引用文件</w:t>
      </w:r>
      <w:r>
        <w:tab/>
      </w:r>
      <w:r>
        <w:fldChar w:fldCharType="begin"/>
      </w:r>
      <w:r>
        <w:instrText xml:space="preserve"> PAGEREF _Toc243314977 \h </w:instrText>
      </w:r>
      <w:r>
        <w:fldChar w:fldCharType="separate"/>
      </w:r>
      <w:r>
        <w:t>3</w:t>
      </w:r>
      <w:r>
        <w:fldChar w:fldCharType="end"/>
      </w:r>
      <w:r>
        <w:fldChar w:fldCharType="end"/>
      </w:r>
    </w:p>
    <w:p w14:paraId="34A7DA8D">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"_Toc243314978" </w:instrText>
      </w:r>
      <w:r>
        <w:fldChar w:fldCharType="separate"/>
      </w:r>
      <w:r>
        <w:rPr>
          <w:rStyle w:val="32"/>
        </w:rPr>
        <w:t>3 术语和定义</w:t>
      </w:r>
      <w:r>
        <w:tab/>
      </w:r>
      <w:r>
        <w:fldChar w:fldCharType="begin"/>
      </w:r>
      <w:r>
        <w:instrText xml:space="preserve"> PAGEREF _Toc243314978 \h </w:instrText>
      </w:r>
      <w:r>
        <w:fldChar w:fldCharType="separate"/>
      </w:r>
      <w:r>
        <w:t>3</w:t>
      </w:r>
      <w:r>
        <w:fldChar w:fldCharType="end"/>
      </w:r>
      <w:r>
        <w:fldChar w:fldCharType="end"/>
      </w:r>
    </w:p>
    <w:p w14:paraId="26781E74">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"_Toc243314979" </w:instrText>
      </w:r>
      <w:r>
        <w:fldChar w:fldCharType="separate"/>
      </w:r>
      <w:r>
        <w:rPr>
          <w:rStyle w:val="32"/>
        </w:rPr>
        <w:t>4 播前准备</w:t>
      </w:r>
      <w:r>
        <w:tab/>
      </w:r>
      <w:r>
        <w:fldChar w:fldCharType="begin"/>
      </w:r>
      <w:r>
        <w:instrText xml:space="preserve"> PAGEREF _Toc243314979 \h </w:instrText>
      </w:r>
      <w:r>
        <w:fldChar w:fldCharType="separate"/>
      </w:r>
      <w:r>
        <w:t>3</w:t>
      </w:r>
      <w:r>
        <w:fldChar w:fldCharType="end"/>
      </w:r>
      <w:r>
        <w:fldChar w:fldCharType="end"/>
      </w:r>
    </w:p>
    <w:p w14:paraId="693509B3">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"_Toc243314980" </w:instrText>
      </w:r>
      <w:r>
        <w:fldChar w:fldCharType="separate"/>
      </w:r>
      <w:r>
        <w:rPr>
          <w:rStyle w:val="32"/>
        </w:rPr>
        <w:t>5 种子准备</w:t>
      </w:r>
      <w:r>
        <w:tab/>
      </w:r>
      <w:r>
        <w:fldChar w:fldCharType="begin"/>
      </w:r>
      <w:r>
        <w:instrText xml:space="preserve"> PAGEREF _Toc243314980 \h </w:instrText>
      </w:r>
      <w:r>
        <w:fldChar w:fldCharType="separate"/>
      </w:r>
      <w:r>
        <w:t>4</w:t>
      </w:r>
      <w:r>
        <w:fldChar w:fldCharType="end"/>
      </w:r>
      <w:r>
        <w:fldChar w:fldCharType="end"/>
      </w:r>
    </w:p>
    <w:p w14:paraId="32C215C2">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"_Toc243314981" </w:instrText>
      </w:r>
      <w:r>
        <w:fldChar w:fldCharType="separate"/>
      </w:r>
      <w:r>
        <w:rPr>
          <w:rStyle w:val="32"/>
        </w:rPr>
        <w:t>6 播种</w:t>
      </w:r>
      <w:r>
        <w:tab/>
      </w:r>
      <w:r>
        <w:fldChar w:fldCharType="begin"/>
      </w:r>
      <w:r>
        <w:instrText xml:space="preserve"> PAGEREF _Toc243314981 \h </w:instrText>
      </w:r>
      <w:r>
        <w:fldChar w:fldCharType="separate"/>
      </w:r>
      <w:r>
        <w:t>4</w:t>
      </w:r>
      <w:r>
        <w:fldChar w:fldCharType="end"/>
      </w:r>
      <w:r>
        <w:fldChar w:fldCharType="end"/>
      </w:r>
    </w:p>
    <w:p w14:paraId="5AC9855F">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"_Toc243314982" </w:instrText>
      </w:r>
      <w:r>
        <w:fldChar w:fldCharType="separate"/>
      </w:r>
      <w:r>
        <w:rPr>
          <w:rStyle w:val="32"/>
        </w:rPr>
        <w:t>7 水肥管理</w:t>
      </w:r>
      <w:r>
        <w:tab/>
      </w:r>
      <w:r>
        <w:fldChar w:fldCharType="begin"/>
      </w:r>
      <w:r>
        <w:instrText xml:space="preserve"> PAGEREF _Toc243314982 \h </w:instrText>
      </w:r>
      <w:r>
        <w:fldChar w:fldCharType="separate"/>
      </w:r>
      <w:r>
        <w:t>5</w:t>
      </w:r>
      <w:r>
        <w:fldChar w:fldCharType="end"/>
      </w:r>
      <w:r>
        <w:fldChar w:fldCharType="end"/>
      </w:r>
    </w:p>
    <w:p w14:paraId="000E7BCF">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"_Toc243314983" </w:instrText>
      </w:r>
      <w:r>
        <w:fldChar w:fldCharType="separate"/>
      </w:r>
      <w:r>
        <w:rPr>
          <w:rStyle w:val="32"/>
        </w:rPr>
        <w:t>8 田间管理</w:t>
      </w:r>
      <w:r>
        <w:tab/>
      </w:r>
      <w:r>
        <w:fldChar w:fldCharType="begin"/>
      </w:r>
      <w:r>
        <w:instrText xml:space="preserve"> PAGEREF _Toc243314983 \h </w:instrText>
      </w:r>
      <w:r>
        <w:fldChar w:fldCharType="separate"/>
      </w:r>
      <w:r>
        <w:t>6</w:t>
      </w:r>
      <w:r>
        <w:fldChar w:fldCharType="end"/>
      </w:r>
      <w:r>
        <w:fldChar w:fldCharType="end"/>
      </w:r>
    </w:p>
    <w:p w14:paraId="46B07610">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"_Toc243314984" </w:instrText>
      </w:r>
      <w:r>
        <w:fldChar w:fldCharType="separate"/>
      </w:r>
      <w:r>
        <w:rPr>
          <w:rStyle w:val="32"/>
        </w:rPr>
        <w:t>9 病虫草害防治</w:t>
      </w:r>
      <w:r>
        <w:tab/>
      </w:r>
      <w:r>
        <w:fldChar w:fldCharType="begin"/>
      </w:r>
      <w:r>
        <w:instrText xml:space="preserve"> PAGEREF _Toc243314984 \h </w:instrText>
      </w:r>
      <w:r>
        <w:fldChar w:fldCharType="separate"/>
      </w:r>
      <w:r>
        <w:t>6</w:t>
      </w:r>
      <w:r>
        <w:fldChar w:fldCharType="end"/>
      </w:r>
      <w:r>
        <w:fldChar w:fldCharType="end"/>
      </w:r>
    </w:p>
    <w:p w14:paraId="7AAE10B0">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"_Toc243314985" </w:instrText>
      </w:r>
      <w:r>
        <w:fldChar w:fldCharType="separate"/>
      </w:r>
      <w:r>
        <w:rPr>
          <w:rStyle w:val="32"/>
        </w:rPr>
        <w:t>10 收获</w:t>
      </w:r>
      <w:r>
        <w:tab/>
      </w:r>
      <w:r>
        <w:fldChar w:fldCharType="begin"/>
      </w:r>
      <w:r>
        <w:instrText xml:space="preserve"> PAGEREF _Toc243314985 \h </w:instrText>
      </w:r>
      <w:r>
        <w:fldChar w:fldCharType="separate"/>
      </w:r>
      <w:r>
        <w:t>6</w:t>
      </w:r>
      <w:r>
        <w:fldChar w:fldCharType="end"/>
      </w:r>
      <w:r>
        <w:fldChar w:fldCharType="end"/>
      </w:r>
    </w:p>
    <w:p w14:paraId="02C3255B">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"_Toc243314986" </w:instrText>
      </w:r>
      <w:r>
        <w:fldChar w:fldCharType="separate"/>
      </w:r>
      <w:r>
        <w:rPr>
          <w:rStyle w:val="32"/>
        </w:rPr>
        <w:t>11 生产档案</w:t>
      </w:r>
      <w:r>
        <w:tab/>
      </w:r>
      <w:r>
        <w:fldChar w:fldCharType="begin"/>
      </w:r>
      <w:r>
        <w:instrText xml:space="preserve"> PAGEREF _Toc243314986 \h </w:instrText>
      </w:r>
      <w:r>
        <w:fldChar w:fldCharType="separate"/>
      </w:r>
      <w:r>
        <w:t>7</w:t>
      </w:r>
      <w:r>
        <w:fldChar w:fldCharType="end"/>
      </w:r>
      <w:r>
        <w:fldChar w:fldCharType="end"/>
      </w:r>
    </w:p>
    <w:p w14:paraId="137CB973">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"_Toc243314987" </w:instrText>
      </w:r>
      <w:r>
        <w:fldChar w:fldCharType="separate"/>
      </w:r>
      <w:r>
        <w:rPr>
          <w:rStyle w:val="32"/>
          <w:spacing w:val="100"/>
        </w:rPr>
        <w:t>附录A</w:t>
      </w:r>
      <w:r>
        <w:rPr>
          <w:rStyle w:val="32"/>
        </w:rPr>
        <w:t xml:space="preserve"> （资料性）苏打盐碱地大豆适宜种植密度</w:t>
      </w:r>
      <w:r>
        <w:tab/>
      </w:r>
      <w:r>
        <w:fldChar w:fldCharType="begin"/>
      </w:r>
      <w:r>
        <w:instrText xml:space="preserve"> PAGEREF _Toc243314987 \h </w:instrText>
      </w:r>
      <w:r>
        <w:fldChar w:fldCharType="separate"/>
      </w:r>
      <w:r>
        <w:t>7</w:t>
      </w:r>
      <w:r>
        <w:fldChar w:fldCharType="end"/>
      </w:r>
      <w:r>
        <w:fldChar w:fldCharType="end"/>
      </w:r>
    </w:p>
    <w:p w14:paraId="32E33CC2">
      <w:pPr>
        <w:pStyle w:val="19"/>
        <w:tabs>
          <w:tab w:val="right" w:leader="dot" w:pos="9345"/>
        </w:tabs>
        <w:rPr>
          <w:rFonts w:asciiTheme="minorHAnsi" w:hAnsiTheme="minorHAnsi" w:eastAsiaTheme="minorEastAsia" w:cstheme="minorBidi"/>
          <w:sz w:val="22"/>
          <w:szCs w:val="24"/>
          <w14:ligatures w14:val="standardContextual"/>
        </w:rPr>
      </w:pPr>
      <w:r>
        <w:fldChar w:fldCharType="begin"/>
      </w:r>
      <w:r>
        <w:instrText xml:space="preserve"> HYPERLINK \l "_Toc243314988" </w:instrText>
      </w:r>
      <w:r>
        <w:fldChar w:fldCharType="separate"/>
      </w:r>
      <w:r>
        <w:rPr>
          <w:rStyle w:val="32"/>
          <w:spacing w:val="105"/>
        </w:rPr>
        <w:t>参考文</w:t>
      </w:r>
      <w:r>
        <w:rPr>
          <w:rStyle w:val="32"/>
        </w:rPr>
        <w:t>献</w:t>
      </w:r>
      <w:r>
        <w:tab/>
      </w:r>
      <w:r>
        <w:fldChar w:fldCharType="begin"/>
      </w:r>
      <w:r>
        <w:instrText xml:space="preserve"> PAGEREF _Toc243314988 \h </w:instrText>
      </w:r>
      <w:r>
        <w:fldChar w:fldCharType="separate"/>
      </w:r>
      <w:r>
        <w:t>7</w:t>
      </w:r>
      <w:r>
        <w:fldChar w:fldCharType="end"/>
      </w:r>
      <w:r>
        <w:fldChar w:fldCharType="end"/>
      </w:r>
    </w:p>
    <w:p w14:paraId="2F1AE868">
      <w:pPr>
        <w:pStyle w:val="156"/>
        <w:spacing w:after="360"/>
        <w:sectPr>
          <w:headerReference r:id="rId9" w:type="default"/>
          <w:footerReference r:id="rId10" w:type="default"/>
          <w:pgSz w:w="11906" w:h="16838"/>
          <w:pgMar w:top="1928" w:right="1134" w:bottom="1134" w:left="1134" w:header="1418" w:footer="1134" w:gutter="283"/>
          <w:pgNumType w:fmt="upperRoman" w:start="1"/>
          <w:cols w:space="720" w:num="1"/>
          <w:formProt w:val="0"/>
          <w:docGrid w:linePitch="312" w:charSpace="0"/>
        </w:sectPr>
      </w:pPr>
      <w:r>
        <w:rPr>
          <w:rFonts w:hint="eastAsia" w:ascii="宋体" w:hAnsi="宋体" w:eastAsia="宋体" w:cs="宋体"/>
        </w:rPr>
        <w:fldChar w:fldCharType="end"/>
      </w:r>
    </w:p>
    <w:bookmarkEnd w:id="14"/>
    <w:p w14:paraId="3652A257">
      <w:pPr>
        <w:pStyle w:val="154"/>
        <w:spacing w:before="1040" w:after="360"/>
      </w:pPr>
      <w:bookmarkStart w:id="16" w:name="_Toc243314974"/>
      <w:bookmarkStart w:id="17" w:name="BookMark2"/>
      <w:r>
        <w:rPr>
          <w:rFonts w:hint="eastAsia"/>
          <w:spacing w:val="320"/>
        </w:rPr>
        <w:t>前</w:t>
      </w:r>
      <w:r>
        <w:rPr>
          <w:rFonts w:hint="eastAsia"/>
        </w:rPr>
        <w:t>言</w:t>
      </w:r>
      <w:bookmarkEnd w:id="15"/>
      <w:bookmarkEnd w:id="16"/>
    </w:p>
    <w:p w14:paraId="1B2AC52A">
      <w:pPr>
        <w:pStyle w:val="37"/>
        <w:ind w:firstLine="420"/>
      </w:pPr>
      <w:r>
        <w:rPr>
          <w:rFonts w:hint="eastAsia"/>
        </w:rPr>
        <w:t>本文件按照GB/T 1.1—2020《标准化工作导则　第1部分：标准化文件的结构和起草规则》的规定起草。</w:t>
      </w:r>
    </w:p>
    <w:p w14:paraId="52DAA2C4">
      <w:pPr>
        <w:pStyle w:val="37"/>
        <w:ind w:firstLine="420"/>
      </w:pPr>
      <w:r>
        <w:rPr>
          <w:rFonts w:hint="eastAsia"/>
        </w:rPr>
        <w:t>请注意本文件的某些内容可能涉及专利。本文件的发布机构不承担识别专利的责任。</w:t>
      </w:r>
    </w:p>
    <w:p w14:paraId="28A3101F">
      <w:pPr>
        <w:pStyle w:val="37"/>
        <w:ind w:firstLine="420"/>
      </w:pPr>
      <w:r>
        <w:rPr>
          <w:rFonts w:hint="eastAsia"/>
        </w:rPr>
        <w:t>本文件由中国植物学会提出并归口。</w:t>
      </w:r>
    </w:p>
    <w:p w14:paraId="12AE43B7">
      <w:pPr>
        <w:pStyle w:val="37"/>
        <w:ind w:firstLine="420"/>
      </w:pPr>
      <w:r>
        <w:rPr>
          <w:rFonts w:hint="eastAsia"/>
        </w:rPr>
        <w:t>本文件起草单位：中国科学院东北地理与农业生态研究所农业技术中心、东北农业大学、吉林省农业科学院、兴安盟农牧科学研究所、内蒙古民族大学。</w:t>
      </w:r>
    </w:p>
    <w:p w14:paraId="42687DC6">
      <w:pPr>
        <w:pStyle w:val="37"/>
        <w:ind w:firstLine="420"/>
      </w:pPr>
      <w:r>
        <w:rPr>
          <w:rFonts w:hint="eastAsia"/>
        </w:rPr>
        <w:t>本文件主要起草人：孟凡立、杨明宇、李洋、郑宇宏、尹小建、张小明、黄利春、刘鹏。</w:t>
      </w:r>
    </w:p>
    <w:p w14:paraId="3DADFAE8">
      <w:pPr>
        <w:pStyle w:val="37"/>
        <w:ind w:firstLine="420"/>
      </w:pPr>
    </w:p>
    <w:bookmarkEnd w:id="17"/>
    <w:p w14:paraId="567F7849">
      <w:pPr>
        <w:pStyle w:val="154"/>
        <w:spacing w:after="360"/>
      </w:pPr>
      <w:bookmarkStart w:id="18" w:name="_Toc10866"/>
      <w:bookmarkStart w:id="19" w:name="_Toc243314975"/>
      <w:bookmarkStart w:id="20" w:name="BookMark3"/>
      <w:r>
        <w:rPr>
          <w:rFonts w:hint="eastAsia"/>
          <w:spacing w:val="320"/>
        </w:rPr>
        <w:t>引</w:t>
      </w:r>
      <w:r>
        <w:rPr>
          <w:rFonts w:hint="eastAsia"/>
        </w:rPr>
        <w:t>言</w:t>
      </w:r>
      <w:bookmarkEnd w:id="18"/>
      <w:bookmarkEnd w:id="19"/>
    </w:p>
    <w:p w14:paraId="733678D6">
      <w:pPr>
        <w:pStyle w:val="37"/>
        <w:ind w:firstLine="420"/>
      </w:pPr>
      <w:r>
        <w:rPr>
          <w:rFonts w:hint="eastAsia"/>
        </w:rPr>
        <w:t>苏打盐碱地大豆小垄双行浅埋滴灌种植技术是针对苏打盐碱地土壤盐分表聚、出苗困难、产量低而不稳等问题，以垄作、双行密植与浅埋滴灌相结合，通过调控根层土壤盐分、稳定供应水分和养分，提高大豆出苗率和群体质量，实现苏打盐碱地大豆稳产增产的种植技术。</w:t>
      </w:r>
    </w:p>
    <w:p w14:paraId="0BC68E4D">
      <w:pPr>
        <w:pStyle w:val="37"/>
        <w:ind w:firstLine="420"/>
      </w:pPr>
      <w:r>
        <w:rPr>
          <w:rFonts w:hint="eastAsia"/>
        </w:rPr>
        <w:t>本文件的制定，可为苏打盐碱地大豆规范化种植提供技术依据，指导种植者合理选地整地、铺设滴灌管网、确定播种密度和开展水肥管理，提升盐碱地大豆生产的标准化水平。</w:t>
      </w:r>
    </w:p>
    <w:p w14:paraId="5B4DCA75">
      <w:pPr>
        <w:pStyle w:val="37"/>
        <w:ind w:firstLine="420"/>
        <w:rPr>
          <w:highlight w:val="green"/>
        </w:rPr>
        <w:sectPr>
          <w:pgSz w:w="11906" w:h="16838"/>
          <w:pgMar w:top="1928" w:right="1134" w:bottom="1134" w:left="1134" w:header="1418" w:footer="1134" w:gutter="283"/>
          <w:pgNumType w:fmt="upperRoman"/>
          <w:cols w:space="720" w:num="1"/>
          <w:formProt w:val="0"/>
          <w:docGrid w:linePitch="312" w:charSpace="0"/>
        </w:sectPr>
      </w:pPr>
    </w:p>
    <w:bookmarkEnd w:id="20"/>
    <w:p w14:paraId="525CC3F8">
      <w:pPr>
        <w:spacing w:line="20" w:lineRule="exact"/>
        <w:jc w:val="center"/>
        <w:rPr>
          <w:rFonts w:ascii="黑体" w:hAnsi="黑体" w:eastAsia="黑体"/>
          <w:sz w:val="32"/>
          <w:szCs w:val="32"/>
        </w:rPr>
      </w:pPr>
    </w:p>
    <w:p w14:paraId="4BD6D649">
      <w:pPr>
        <w:spacing w:line="20" w:lineRule="exact"/>
        <w:jc w:val="center"/>
        <w:rPr>
          <w:rFonts w:ascii="黑体" w:hAnsi="黑体" w:eastAsia="黑体"/>
          <w:sz w:val="32"/>
          <w:szCs w:val="32"/>
        </w:rPr>
      </w:pPr>
    </w:p>
    <w:p w14:paraId="0BE79C85">
      <w:pPr>
        <w:pStyle w:val="87"/>
        <w:spacing w:before="48"/>
      </w:pPr>
      <w:r>
        <w:rPr>
          <w:rFonts w:hint="eastAsia"/>
        </w:rPr>
        <w:t>苏打盐碱地大豆小垄双行浅埋滴灌种植技术</w:t>
      </w:r>
    </w:p>
    <w:p w14:paraId="4F6C404E">
      <w:pPr>
        <w:pStyle w:val="63"/>
        <w:spacing w:before="240" w:after="240"/>
      </w:pPr>
      <w:bookmarkStart w:id="21" w:name="_Toc243314976"/>
      <w:r>
        <w:rPr>
          <w:rFonts w:hint="eastAsia"/>
        </w:rPr>
        <w:t>范围</w:t>
      </w:r>
      <w:bookmarkEnd w:id="21"/>
    </w:p>
    <w:p w14:paraId="06EBCDB3">
      <w:pPr>
        <w:pStyle w:val="37"/>
        <w:ind w:firstLine="420"/>
      </w:pPr>
      <w:r>
        <w:rPr>
          <w:rFonts w:hint="eastAsia"/>
        </w:rPr>
        <w:t>本文件确立了苏打盐碱地大豆小垄双行浅埋滴灌种植技术的术语和定义、选地与整地、滴灌管网铺设、种子准备、播种、水肥管理、田间管理、病虫草害防治、收获和生产档案的技术要求。</w:t>
      </w:r>
    </w:p>
    <w:p w14:paraId="1F3F0BF2">
      <w:pPr>
        <w:pStyle w:val="37"/>
        <w:ind w:firstLine="420"/>
      </w:pPr>
      <w:r>
        <w:rPr>
          <w:rFonts w:hint="eastAsia"/>
        </w:rPr>
        <w:t>本文件适用于苏打盐碱地大豆的种植，其他生态条件相近的盐碱地可参照执行。</w:t>
      </w:r>
    </w:p>
    <w:p w14:paraId="50B9F411">
      <w:pPr>
        <w:pStyle w:val="63"/>
        <w:spacing w:before="240" w:after="240"/>
      </w:pPr>
      <w:bookmarkStart w:id="22" w:name="_Toc243314977"/>
      <w:r>
        <w:rPr>
          <w:rFonts w:hint="eastAsia"/>
        </w:rPr>
        <w:t>规范性引用文件</w:t>
      </w:r>
      <w:bookmarkEnd w:id="22"/>
    </w:p>
    <w:p w14:paraId="08D51003">
      <w:pPr>
        <w:pStyle w:val="37"/>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70D402C7">
      <w:pPr>
        <w:pStyle w:val="37"/>
        <w:ind w:firstLine="0" w:firstLineChars="0"/>
      </w:pPr>
      <w:r>
        <w:rPr>
          <w:rFonts w:hint="eastAsia"/>
        </w:rPr>
        <w:t>GB 4404.2　粮食作物种子　第2部分：豆类</w:t>
      </w:r>
    </w:p>
    <w:p w14:paraId="107B7545">
      <w:pPr>
        <w:pStyle w:val="37"/>
        <w:ind w:firstLine="0" w:firstLineChars="0"/>
      </w:pPr>
      <w:r>
        <w:rPr>
          <w:rFonts w:hint="eastAsia"/>
        </w:rPr>
        <w:t>GB 12475　农药贮运、销售和使用的防毒规程</w:t>
      </w:r>
    </w:p>
    <w:p w14:paraId="6B4E9DF9">
      <w:pPr>
        <w:pStyle w:val="37"/>
        <w:ind w:firstLine="0" w:firstLineChars="0"/>
      </w:pPr>
      <w:r>
        <w:rPr>
          <w:rFonts w:hint="eastAsia"/>
        </w:rPr>
        <w:t>GB/T 8321（所有部分）　农药合理使用准则</w:t>
      </w:r>
    </w:p>
    <w:p w14:paraId="420F455B">
      <w:pPr>
        <w:pStyle w:val="37"/>
        <w:ind w:firstLine="0" w:firstLineChars="0"/>
      </w:pPr>
      <w:r>
        <w:rPr>
          <w:rFonts w:hint="eastAsia"/>
        </w:rPr>
        <w:t>GB/T 15671　农作物薄膜包衣种子技术条件</w:t>
      </w:r>
    </w:p>
    <w:p w14:paraId="5EE47D1D">
      <w:pPr>
        <w:pStyle w:val="37"/>
        <w:ind w:firstLine="0" w:firstLineChars="0"/>
      </w:pPr>
      <w:r>
        <w:rPr>
          <w:rFonts w:hint="eastAsia"/>
        </w:rPr>
        <w:t>NY/T 496　肥料合理使用准则　通则</w:t>
      </w:r>
    </w:p>
    <w:p w14:paraId="7EA09F31">
      <w:pPr>
        <w:pStyle w:val="37"/>
        <w:ind w:firstLine="0" w:firstLineChars="0"/>
      </w:pPr>
      <w:r>
        <w:rPr>
          <w:rFonts w:hint="eastAsia"/>
        </w:rPr>
        <w:t>NY/T 1276　农药安全使用规范　总则</w:t>
      </w:r>
    </w:p>
    <w:p w14:paraId="73081CF3">
      <w:pPr>
        <w:pStyle w:val="37"/>
        <w:ind w:firstLine="0" w:firstLineChars="0"/>
      </w:pPr>
      <w:r>
        <w:rPr>
          <w:rFonts w:hint="eastAsia"/>
        </w:rPr>
        <w:t>NY/T 1997　除草剂安全使用技术规范　通则</w:t>
      </w:r>
    </w:p>
    <w:p w14:paraId="194B83C0">
      <w:pPr>
        <w:pStyle w:val="37"/>
        <w:ind w:firstLine="0" w:firstLineChars="0"/>
      </w:pPr>
      <w:r>
        <w:rPr>
          <w:rFonts w:hint="eastAsia"/>
        </w:rPr>
        <w:t>NY/T 2159　大豆主要病害防治技术规程</w:t>
      </w:r>
    </w:p>
    <w:p w14:paraId="010A1EC4">
      <w:pPr>
        <w:pStyle w:val="63"/>
        <w:spacing w:before="240" w:after="240"/>
      </w:pPr>
      <w:bookmarkStart w:id="23" w:name="_Toc243314978"/>
      <w:r>
        <w:rPr>
          <w:rFonts w:hint="eastAsia"/>
        </w:rPr>
        <w:t>术语和定义</w:t>
      </w:r>
      <w:bookmarkEnd w:id="23"/>
    </w:p>
    <w:p w14:paraId="7C4AF9A6">
      <w:pPr>
        <w:pStyle w:val="37"/>
        <w:ind w:firstLine="420"/>
      </w:pPr>
      <w:r>
        <w:rPr>
          <w:rFonts w:hint="eastAsia"/>
        </w:rPr>
        <w:t>下列术语和定义适用于本文件。</w:t>
      </w:r>
    </w:p>
    <w:p w14:paraId="63585B33">
      <w:pPr>
        <w:pStyle w:val="151"/>
      </w:pPr>
      <w:r>
        <w:rPr>
          <w:rFonts w:hint="eastAsia"/>
        </w:rPr>
        <w:t>小垄双行浅埋滴灌技术</w:t>
      </w:r>
    </w:p>
    <w:p w14:paraId="4FAFAFAF">
      <w:pPr>
        <w:pStyle w:val="37"/>
        <w:ind w:firstLine="0" w:firstLineChars="0"/>
      </w:pPr>
      <w:r>
        <w:rPr>
          <w:rFonts w:hint="eastAsia"/>
        </w:rPr>
        <w:t>small-ridge double-row shallow-buried drip irrigation technology</w:t>
      </w:r>
    </w:p>
    <w:p w14:paraId="21F3A597">
      <w:pPr>
        <w:pStyle w:val="37"/>
        <w:ind w:firstLine="420"/>
      </w:pPr>
      <w:r>
        <w:rPr>
          <w:rFonts w:hint="eastAsia"/>
        </w:rPr>
        <w:t>采用垄宽60 cm的小垄，垄上种植双行大豆，滴灌带沿播种行铺埋于2行中间、地表以下2 cm～4 cm处的种植技术。</w:t>
      </w:r>
    </w:p>
    <w:p w14:paraId="1B24639B">
      <w:pPr>
        <w:pStyle w:val="151"/>
      </w:pPr>
      <w:r>
        <w:rPr>
          <w:rFonts w:hint="eastAsia"/>
        </w:rPr>
        <w:t>苏打盐碱地</w:t>
      </w:r>
    </w:p>
    <w:p w14:paraId="5E0DEB4D">
      <w:pPr>
        <w:pStyle w:val="37"/>
        <w:ind w:firstLine="0" w:firstLineChars="0"/>
      </w:pPr>
      <w:r>
        <w:rPr>
          <w:rFonts w:hint="eastAsia"/>
        </w:rPr>
        <w:t>soda saline-alkaline soil</w:t>
      </w:r>
    </w:p>
    <w:p w14:paraId="5708D970">
      <w:pPr>
        <w:pStyle w:val="37"/>
        <w:ind w:firstLine="420"/>
      </w:pPr>
      <w:r>
        <w:rPr>
          <w:rFonts w:hint="eastAsia"/>
        </w:rPr>
        <w:t>以NaHCO₃和Na₂CO₃等可溶性盐类为主要成分，土壤pH值≥8.5、碱化度≥15%的盐碱地。</w:t>
      </w:r>
    </w:p>
    <w:p w14:paraId="098A902E">
      <w:pPr>
        <w:pStyle w:val="63"/>
        <w:spacing w:before="240" w:after="240"/>
      </w:pPr>
      <w:bookmarkStart w:id="24" w:name="_Toc243314979"/>
      <w:r>
        <w:rPr>
          <w:rFonts w:hint="eastAsia"/>
        </w:rPr>
        <w:t>播前准备</w:t>
      </w:r>
      <w:bookmarkEnd w:id="24"/>
    </w:p>
    <w:p w14:paraId="23C9FD2B">
      <w:pPr>
        <w:pStyle w:val="62"/>
        <w:spacing w:before="120" w:after="120"/>
      </w:pPr>
      <w:r>
        <w:rPr>
          <w:rFonts w:hint="eastAsia"/>
        </w:rPr>
        <w:t>选地</w:t>
      </w:r>
    </w:p>
    <w:p w14:paraId="170226E7">
      <w:pPr>
        <w:pStyle w:val="37"/>
        <w:ind w:firstLine="420"/>
      </w:pPr>
      <w:r>
        <w:rPr>
          <w:rFonts w:hint="eastAsia"/>
        </w:rPr>
        <w:t>选择地势相对平坦、排灌方便、具备滴灌条件的苏打盐碱地。宜选择前茬为玉米、高粱等作物的地块，也可选择其他未使用过长残留除草剂的地块；前茬收获后及时将秸秆打包离田，避免秸秆在田间堆积腐烂。</w:t>
      </w:r>
    </w:p>
    <w:p w14:paraId="489B1BF2">
      <w:pPr>
        <w:pStyle w:val="62"/>
        <w:spacing w:before="120" w:after="120"/>
      </w:pPr>
      <w:r>
        <w:rPr>
          <w:rFonts w:hint="eastAsia"/>
        </w:rPr>
        <w:t>整地</w:t>
      </w:r>
    </w:p>
    <w:p w14:paraId="018BFD51">
      <w:pPr>
        <w:pStyle w:val="72"/>
        <w:spacing w:before="120" w:after="120"/>
      </w:pPr>
      <w:r>
        <w:rPr>
          <w:rFonts w:hint="eastAsia"/>
        </w:rPr>
        <w:t>翻地</w:t>
      </w:r>
    </w:p>
    <w:p w14:paraId="7281BD34">
      <w:pPr>
        <w:pStyle w:val="37"/>
        <w:ind w:firstLine="420"/>
      </w:pPr>
      <w:r>
        <w:rPr>
          <w:rFonts w:hint="eastAsia"/>
        </w:rPr>
        <w:t>宜在秋季前茬收获后及时进行，翻地作业深度20 cm～25 cm，不打破犁底层，避免将含盐量较高的底土翻至表层。结合翻地施入腐熟牛粪2000 kg/667 m²～3000 kg/667 m²或商品有机肥，施用方式参照产品说明。</w:t>
      </w:r>
    </w:p>
    <w:p w14:paraId="7644573E">
      <w:pPr>
        <w:pStyle w:val="72"/>
        <w:spacing w:before="120" w:after="120"/>
      </w:pPr>
      <w:r>
        <w:rPr>
          <w:rFonts w:hint="eastAsia"/>
        </w:rPr>
        <w:t>深松</w:t>
      </w:r>
    </w:p>
    <w:p w14:paraId="36D3EBB9">
      <w:pPr>
        <w:pStyle w:val="37"/>
        <w:ind w:firstLine="420"/>
      </w:pPr>
      <w:r>
        <w:rPr>
          <w:rFonts w:hint="eastAsia"/>
        </w:rPr>
        <w:t>深松与翻地宜隔年进行，深松作业深度30 cm～35 cm，深松后适时耙地。</w:t>
      </w:r>
    </w:p>
    <w:p w14:paraId="7B06D7F8">
      <w:pPr>
        <w:pStyle w:val="72"/>
        <w:spacing w:before="120" w:after="120"/>
      </w:pPr>
      <w:r>
        <w:rPr>
          <w:rFonts w:hint="eastAsia"/>
        </w:rPr>
        <w:t>整地质量</w:t>
      </w:r>
    </w:p>
    <w:p w14:paraId="50983509">
      <w:pPr>
        <w:pStyle w:val="37"/>
        <w:ind w:firstLine="420"/>
      </w:pPr>
      <w:r>
        <w:rPr>
          <w:rFonts w:hint="eastAsia"/>
        </w:rPr>
        <w:t>翻地或深松后适时耙地，做到深浅一致、地平土碎，土块直径小于5 cm，达到待播状态。中、重度苏打盐碱地可结合翻地增施酸性肥料或土壤改良剂，用量参照产品说明。</w:t>
      </w:r>
    </w:p>
    <w:p w14:paraId="7A37827E">
      <w:pPr>
        <w:pStyle w:val="72"/>
        <w:spacing w:before="120" w:after="120"/>
      </w:pPr>
      <w:r>
        <w:rPr>
          <w:rFonts w:hint="eastAsia"/>
        </w:rPr>
        <w:t>排水设施</w:t>
      </w:r>
    </w:p>
    <w:p w14:paraId="3E960F03">
      <w:pPr>
        <w:pStyle w:val="37"/>
        <w:ind w:firstLine="420"/>
      </w:pPr>
      <w:r>
        <w:rPr>
          <w:rFonts w:hint="eastAsia"/>
        </w:rPr>
        <w:t>整地时在田间四周设置排水沟，沟深、沟宽依据地形和排水量确定；具备条件的可采用暗管排盐。</w:t>
      </w:r>
    </w:p>
    <w:p w14:paraId="1DCACE05">
      <w:pPr>
        <w:pStyle w:val="62"/>
        <w:spacing w:before="120" w:after="120"/>
      </w:pPr>
      <w:r>
        <w:rPr>
          <w:rFonts w:hint="eastAsia"/>
        </w:rPr>
        <w:t>起垄</w:t>
      </w:r>
    </w:p>
    <w:p w14:paraId="084E46D3">
      <w:pPr>
        <w:pStyle w:val="37"/>
        <w:ind w:firstLine="420"/>
      </w:pPr>
      <w:r>
        <w:rPr>
          <w:rFonts w:hint="eastAsia"/>
        </w:rPr>
        <w:t>宜在秋季整地后起垄，采用60 cm小垄起垄作业，垄高15 cm～20 cm，垄顶宽30 cm～40 cm。起垄后及时镇压，确保垄体紧实，避免垄体失墒。盐碱地起垄后应及时播种，减少水分蒸发和盐分表聚。</w:t>
      </w:r>
    </w:p>
    <w:p w14:paraId="3DFFB830">
      <w:pPr>
        <w:pStyle w:val="62"/>
        <w:spacing w:before="120" w:after="120"/>
      </w:pPr>
      <w:r>
        <w:rPr>
          <w:rFonts w:hint="eastAsia"/>
        </w:rPr>
        <w:t>滴灌管网铺设</w:t>
      </w:r>
    </w:p>
    <w:p w14:paraId="1649D15F">
      <w:pPr>
        <w:pStyle w:val="72"/>
        <w:spacing w:before="120" w:after="120"/>
      </w:pPr>
      <w:r>
        <w:rPr>
          <w:rFonts w:hint="eastAsia"/>
        </w:rPr>
        <w:t>铺设条件</w:t>
      </w:r>
    </w:p>
    <w:p w14:paraId="28F1EB60">
      <w:pPr>
        <w:pStyle w:val="37"/>
        <w:ind w:firstLine="420"/>
      </w:pPr>
      <w:r>
        <w:rPr>
          <w:rFonts w:hint="eastAsia"/>
        </w:rPr>
        <w:t>地块应具备水源和灌溉条件，水源水质符合灌溉用水要求，首部配备过滤装置。</w:t>
      </w:r>
    </w:p>
    <w:p w14:paraId="63DF8EC0">
      <w:pPr>
        <w:pStyle w:val="72"/>
        <w:spacing w:before="120" w:after="120"/>
      </w:pPr>
      <w:r>
        <w:rPr>
          <w:rFonts w:hint="eastAsia"/>
        </w:rPr>
        <w:t>管网布置</w:t>
      </w:r>
    </w:p>
    <w:p w14:paraId="12744387">
      <w:pPr>
        <w:pStyle w:val="37"/>
        <w:ind w:firstLine="420"/>
      </w:pPr>
      <w:r>
        <w:rPr>
          <w:rFonts w:hint="eastAsia"/>
        </w:rPr>
        <w:t>管网由首部、干管、支管和毛管（滴灌带）组成，干管宜沿地块长边布置，支管垂直于干管布置，支管间距30 m～50 m，毛管间距与垄距一致，滴灌带随播种铺设于垄上双行之间。</w:t>
      </w:r>
    </w:p>
    <w:p w14:paraId="114F5B7A">
      <w:pPr>
        <w:pStyle w:val="72"/>
        <w:spacing w:before="120" w:after="120"/>
      </w:pPr>
      <w:r>
        <w:rPr>
          <w:rFonts w:hint="eastAsia"/>
        </w:rPr>
        <w:t>管网连接</w:t>
      </w:r>
    </w:p>
    <w:p w14:paraId="2C750B19">
      <w:pPr>
        <w:pStyle w:val="37"/>
        <w:ind w:firstLine="420"/>
      </w:pPr>
      <w:r>
        <w:rPr>
          <w:rFonts w:hint="eastAsia"/>
        </w:rPr>
        <w:t>播种后将毛管与支管、支管与干管、干管与首部依次连接，安装压力表、阀门及过滤装置，试水检查，管网无漏水、滴水均匀后方可正常灌溉。</w:t>
      </w:r>
    </w:p>
    <w:p w14:paraId="21378544">
      <w:pPr>
        <w:pStyle w:val="63"/>
        <w:spacing w:before="240" w:after="240"/>
      </w:pPr>
      <w:bookmarkStart w:id="25" w:name="_Toc243314980"/>
      <w:r>
        <w:rPr>
          <w:rFonts w:hint="eastAsia"/>
        </w:rPr>
        <w:t>种子准备</w:t>
      </w:r>
      <w:bookmarkEnd w:id="25"/>
    </w:p>
    <w:p w14:paraId="6A004A9B">
      <w:pPr>
        <w:pStyle w:val="62"/>
        <w:spacing w:before="120" w:after="120"/>
      </w:pPr>
      <w:r>
        <w:rPr>
          <w:rFonts w:hint="eastAsia"/>
        </w:rPr>
        <w:t>品种选择</w:t>
      </w:r>
    </w:p>
    <w:p w14:paraId="283B1266">
      <w:pPr>
        <w:pStyle w:val="37"/>
        <w:ind w:firstLine="420"/>
      </w:pPr>
      <w:r>
        <w:rPr>
          <w:rFonts w:hint="eastAsia"/>
        </w:rPr>
        <w:t>根据当地有效积温条件，选择通过国家或省级审定（含引种备案）的耐盐碱大豆品种。</w:t>
      </w:r>
    </w:p>
    <w:p w14:paraId="7D3D90B8">
      <w:pPr>
        <w:pStyle w:val="62"/>
        <w:spacing w:before="120" w:after="120"/>
      </w:pPr>
      <w:r>
        <w:rPr>
          <w:rFonts w:hint="eastAsia"/>
        </w:rPr>
        <w:t>种子处理</w:t>
      </w:r>
    </w:p>
    <w:p w14:paraId="3DE5CF7E">
      <w:pPr>
        <w:pStyle w:val="37"/>
        <w:ind w:firstLine="420"/>
      </w:pPr>
      <w:r>
        <w:rPr>
          <w:rFonts w:hint="eastAsia"/>
        </w:rPr>
        <w:t>播前对种子进行精选，剔除病斑粒、虫食粒、残损粒及杂质，籽粒均匀饱满、粒型均匀一致，种子质量应符合GB 4404.2的规定，发芽率不低于85%。宜选用包衣种子，包衣种子质量应符合GB/T 15671的规定；自行包衣时，种衣剂应选用取得农药登记、适用于大豆的种衣剂产品，并按其标签标注的用量和方法进行包衣。</w:t>
      </w:r>
    </w:p>
    <w:p w14:paraId="3455D6F0">
      <w:pPr>
        <w:pStyle w:val="63"/>
        <w:spacing w:before="240" w:after="240"/>
      </w:pPr>
      <w:bookmarkStart w:id="26" w:name="_Toc243314981"/>
      <w:r>
        <w:rPr>
          <w:rFonts w:hint="eastAsia"/>
        </w:rPr>
        <w:t>播种</w:t>
      </w:r>
      <w:bookmarkEnd w:id="26"/>
    </w:p>
    <w:p w14:paraId="5C237793">
      <w:pPr>
        <w:pStyle w:val="62"/>
        <w:spacing w:before="120" w:after="120"/>
      </w:pPr>
      <w:r>
        <w:rPr>
          <w:rFonts w:hint="eastAsia"/>
        </w:rPr>
        <w:t>播种时期</w:t>
      </w:r>
    </w:p>
    <w:p w14:paraId="57AF19B1">
      <w:pPr>
        <w:pStyle w:val="37"/>
        <w:ind w:firstLine="420"/>
      </w:pPr>
      <w:r>
        <w:rPr>
          <w:rFonts w:hint="eastAsia"/>
        </w:rPr>
        <w:t>一般在5月上旬，低洼地可延期至5月下旬，当土壤5 cm～10 cm土层地温稳定在10 ℃以上播种。</w:t>
      </w:r>
    </w:p>
    <w:p w14:paraId="73798C97">
      <w:pPr>
        <w:pStyle w:val="62"/>
        <w:spacing w:before="120" w:after="120"/>
      </w:pPr>
      <w:r>
        <w:rPr>
          <w:rFonts w:hint="eastAsia"/>
        </w:rPr>
        <w:t>播种方式</w:t>
      </w:r>
    </w:p>
    <w:p w14:paraId="19136F46">
      <w:pPr>
        <w:pStyle w:val="37"/>
        <w:ind w:firstLine="420"/>
      </w:pPr>
      <w:r>
        <w:rPr>
          <w:rFonts w:hint="eastAsia"/>
        </w:rPr>
        <w:t>采用小垄双行种植，60 cm小垄垄上播种2行，行距15 cm～20 cm；品种繁茂性好、行距取下限，繁茂性差、行距取上限。</w:t>
      </w:r>
    </w:p>
    <w:p w14:paraId="19A091FF">
      <w:pPr>
        <w:pStyle w:val="62"/>
        <w:spacing w:before="120" w:after="120"/>
      </w:pPr>
      <w:r>
        <w:rPr>
          <w:rFonts w:hint="eastAsia"/>
        </w:rPr>
        <w:t>种植密度</w:t>
      </w:r>
    </w:p>
    <w:p w14:paraId="400D94A4">
      <w:pPr>
        <w:pStyle w:val="37"/>
        <w:ind w:firstLine="420"/>
      </w:pPr>
      <w:r>
        <w:rPr>
          <w:rFonts w:hint="eastAsia"/>
        </w:rPr>
        <w:t>小垄双行栽培模式播种密度33万株/hm²～45万株/hm²，其中轻度盐碱地宜为33万株/hm²～36万株/hm²，中度盐碱地宜为36万株/hm²～40万株/hm²，重度盐碱地宜为40万株/hm²～45万株/hm²；株距根据品种特性及目标密度确定。不同盐碱程度下的适宜种植密度参见附录A。</w:t>
      </w:r>
    </w:p>
    <w:p w14:paraId="640C2979">
      <w:pPr>
        <w:pStyle w:val="62"/>
        <w:spacing w:before="120" w:after="120"/>
      </w:pPr>
      <w:r>
        <w:rPr>
          <w:rFonts w:hint="eastAsia"/>
        </w:rPr>
        <w:t>播种方法</w:t>
      </w:r>
    </w:p>
    <w:p w14:paraId="419FF540">
      <w:pPr>
        <w:pStyle w:val="37"/>
        <w:ind w:firstLine="420"/>
      </w:pPr>
      <w:r>
        <w:rPr>
          <w:rFonts w:hint="eastAsia"/>
        </w:rPr>
        <w:t>选用无膜浅埋滴灌精量播种铺带一体机，一次性完成深施种肥、播种、铺管、覆土、镇压等作业。滴灌带埋设于2行中间、地表以下2 cm～4 cm处；播种深度3 cm～4 cm。播种作业应达到行直、垄匀、深浅一致，播种后及时检查滴灌带位置，出现裸露或错位时及时调整。</w:t>
      </w:r>
    </w:p>
    <w:p w14:paraId="3090807A">
      <w:pPr>
        <w:pStyle w:val="63"/>
        <w:spacing w:before="240" w:after="240"/>
      </w:pPr>
      <w:bookmarkStart w:id="27" w:name="_Toc243314982"/>
      <w:r>
        <w:rPr>
          <w:rFonts w:hint="eastAsia"/>
        </w:rPr>
        <w:t>水肥管理</w:t>
      </w:r>
      <w:bookmarkEnd w:id="27"/>
    </w:p>
    <w:p w14:paraId="329D9533">
      <w:pPr>
        <w:pStyle w:val="62"/>
        <w:spacing w:before="120" w:after="120"/>
      </w:pPr>
      <w:r>
        <w:rPr>
          <w:rFonts w:hint="eastAsia"/>
        </w:rPr>
        <w:t>种肥</w:t>
      </w:r>
    </w:p>
    <w:p w14:paraId="627186F0">
      <w:pPr>
        <w:pStyle w:val="37"/>
        <w:ind w:firstLine="420"/>
      </w:pPr>
      <w:r>
        <w:rPr>
          <w:rFonts w:hint="eastAsia"/>
        </w:rPr>
        <w:t>一般施用复合肥30 kg/667 m²～40 kg/667 m²，氮磷钾比例宜为1:1.2:0.6，配施生物菌肥15 kg/667 m²～20 kg/667 m²。种肥随起垄深施于种侧下方，施肥深度12 cm～15 cm，避免种肥同层。肥料施用应符合NY/T 496的规定。</w:t>
      </w:r>
    </w:p>
    <w:p w14:paraId="385294FB">
      <w:pPr>
        <w:pStyle w:val="62"/>
        <w:spacing w:before="120" w:after="120"/>
      </w:pPr>
      <w:r>
        <w:rPr>
          <w:rFonts w:hint="eastAsia"/>
        </w:rPr>
        <w:t>滴灌与追肥</w:t>
      </w:r>
    </w:p>
    <w:p w14:paraId="532A3B52">
      <w:pPr>
        <w:pStyle w:val="72"/>
        <w:spacing w:before="120" w:after="120"/>
      </w:pPr>
      <w:r>
        <w:rPr>
          <w:rFonts w:hint="eastAsia"/>
        </w:rPr>
        <w:t>灌溉与排盐</w:t>
      </w:r>
    </w:p>
    <w:p w14:paraId="1632A656">
      <w:pPr>
        <w:pStyle w:val="37"/>
        <w:ind w:firstLine="420"/>
      </w:pPr>
      <w:r>
        <w:rPr>
          <w:rFonts w:hint="eastAsia"/>
        </w:rPr>
        <w:t>根据土壤墒情和植株长势进行滴灌，单次滴水量15 m³/667 m²～25 m³/667 m²，以湿润根层土壤、不产生地表径流为宜。灌溉水质应符合农田灌溉用水要求。滴灌可稀释根层土壤盐分、降低盐分胁迫，连续干旱时应及时补水。</w:t>
      </w:r>
    </w:p>
    <w:p w14:paraId="3023FA26">
      <w:pPr>
        <w:pStyle w:val="72"/>
        <w:spacing w:before="120" w:after="120"/>
      </w:pPr>
      <w:r>
        <w:rPr>
          <w:rFonts w:hint="eastAsia"/>
        </w:rPr>
        <w:t>播种后至出苗期</w:t>
      </w:r>
    </w:p>
    <w:p w14:paraId="6F405387">
      <w:pPr>
        <w:pStyle w:val="37"/>
        <w:ind w:firstLine="420"/>
      </w:pPr>
      <w:r>
        <w:rPr>
          <w:rFonts w:hint="eastAsia"/>
        </w:rPr>
        <w:t>播种后墒情不足时及时滴灌，滴水量20 m³/667 m²～30 m³/667 m²；出苗后视土壤墒情滴灌1次，滴水量15 m³/667 m²～20 m³/667 m²，保证出苗及幼苗生长所需水分。</w:t>
      </w:r>
    </w:p>
    <w:p w14:paraId="11D14613">
      <w:pPr>
        <w:pStyle w:val="72"/>
        <w:spacing w:before="120" w:after="120"/>
      </w:pPr>
      <w:r>
        <w:rPr>
          <w:rFonts w:hint="eastAsia"/>
        </w:rPr>
        <w:t>苗期至分枝期</w:t>
      </w:r>
    </w:p>
    <w:p w14:paraId="247A0D43">
      <w:pPr>
        <w:pStyle w:val="37"/>
        <w:ind w:firstLine="420"/>
      </w:pPr>
      <w:r>
        <w:rPr>
          <w:rFonts w:hint="eastAsia"/>
        </w:rPr>
        <w:t>滴灌1次～2次，随水追施有机液体水溶肥2 kg/667 m²～3 kg/667 m²（氮磷钾含量100:200:100，含复合木霉菌50 g）和黄腐酸钾2 kg/667 m²～3 kg/667 m²，促进根系发育。</w:t>
      </w:r>
    </w:p>
    <w:p w14:paraId="795B8C51">
      <w:pPr>
        <w:pStyle w:val="72"/>
        <w:spacing w:before="120" w:after="120"/>
      </w:pPr>
      <w:r>
        <w:rPr>
          <w:rFonts w:hint="eastAsia"/>
        </w:rPr>
        <w:t>初花期</w:t>
      </w:r>
    </w:p>
    <w:p w14:paraId="4822FC7B">
      <w:pPr>
        <w:pStyle w:val="37"/>
        <w:ind w:firstLine="420"/>
      </w:pPr>
      <w:r>
        <w:rPr>
          <w:rFonts w:hint="eastAsia"/>
        </w:rPr>
        <w:t>滴灌2次，随水追施有机液体水溶肥3 kg/667 m²～4 kg/667 m²（氮磷钾含量100:200:100，含复合木霉菌50 g），保花保荚。</w:t>
      </w:r>
    </w:p>
    <w:p w14:paraId="013CDAAC">
      <w:pPr>
        <w:pStyle w:val="72"/>
        <w:spacing w:before="120" w:after="120"/>
      </w:pPr>
      <w:r>
        <w:rPr>
          <w:rFonts w:hint="eastAsia"/>
        </w:rPr>
        <w:t>盛花期</w:t>
      </w:r>
    </w:p>
    <w:p w14:paraId="169D9FC0">
      <w:pPr>
        <w:pStyle w:val="37"/>
        <w:ind w:firstLine="420"/>
      </w:pPr>
      <w:r>
        <w:rPr>
          <w:rFonts w:hint="eastAsia"/>
        </w:rPr>
        <w:t>滴灌1次～2次，随水追施大量元素水溶肥4 kg/667 m²～6 kg/667 m²（尿素1 kg/667 m²～1.5 kg/667 m²、磷酸一铵2 kg/667 m²～3 kg/667 m²、水溶性硫酸钾1 kg/667 m²～1.5 kg/667 m²）和黄腐酸钾2 kg/667 m²～3 kg/667 m²。</w:t>
      </w:r>
    </w:p>
    <w:p w14:paraId="3806431F">
      <w:pPr>
        <w:pStyle w:val="72"/>
        <w:spacing w:before="120" w:after="120"/>
      </w:pPr>
      <w:r>
        <w:rPr>
          <w:rFonts w:hint="eastAsia"/>
        </w:rPr>
        <w:t>结荚期</w:t>
      </w:r>
    </w:p>
    <w:p w14:paraId="6349CE58">
      <w:pPr>
        <w:pStyle w:val="37"/>
        <w:ind w:firstLine="420"/>
      </w:pPr>
      <w:r>
        <w:rPr>
          <w:rFonts w:hint="eastAsia"/>
        </w:rPr>
        <w:t>滴灌1次，随水追施大量元素水溶肥5 kg/667 m²～7 kg/667 m²（尿素1 kg/667 m²～1.5 kg/667 m²、磷酸一铵3 kg/667 m²～4 kg/667 m²、水溶性硫酸钾1 kg/667 m²～1.5 kg/667 m²）和黄腐酸钾2 kg/667 m²～3 kg/667 m²。</w:t>
      </w:r>
    </w:p>
    <w:p w14:paraId="217DF278">
      <w:pPr>
        <w:pStyle w:val="72"/>
        <w:spacing w:before="120" w:after="120"/>
      </w:pPr>
      <w:r>
        <w:rPr>
          <w:rFonts w:hint="eastAsia"/>
        </w:rPr>
        <w:t>鼓粒期</w:t>
      </w:r>
    </w:p>
    <w:p w14:paraId="77CB99AA">
      <w:pPr>
        <w:pStyle w:val="37"/>
        <w:ind w:firstLine="420"/>
      </w:pPr>
      <w:r>
        <w:rPr>
          <w:rFonts w:hint="eastAsia"/>
        </w:rPr>
        <w:t>鼓粒期根系吸收能力下降，一般不再随水追肥；出现脱肥征兆时，可采用叶面追肥补充养分，按7.3的规定执行。</w:t>
      </w:r>
    </w:p>
    <w:p w14:paraId="58D3182D">
      <w:pPr>
        <w:pStyle w:val="62"/>
        <w:spacing w:before="120" w:after="120"/>
      </w:pPr>
      <w:r>
        <w:rPr>
          <w:rFonts w:hint="eastAsia"/>
        </w:rPr>
        <w:t>叶面肥</w:t>
      </w:r>
    </w:p>
    <w:p w14:paraId="35535548">
      <w:pPr>
        <w:pStyle w:val="37"/>
        <w:ind w:firstLine="420"/>
      </w:pPr>
      <w:r>
        <w:rPr>
          <w:rFonts w:hint="eastAsia"/>
        </w:rPr>
        <w:t>在大豆结荚鼓粒期，根据田间长势适时进行1次～2次叶面追肥，可选用有机水溶肥类叶面肥按产品说明施用，用量70 mL/667 m²～100 mL/667 m²，兑水20 L/667 m²～30 L/667 m²均匀喷施。喷施宜选择晴天下午或阴天进行，避免高温时段喷施。肥料施用应符合NY/T 496的规定。</w:t>
      </w:r>
    </w:p>
    <w:p w14:paraId="58FB8A50">
      <w:pPr>
        <w:pStyle w:val="63"/>
        <w:spacing w:before="240" w:after="240"/>
      </w:pPr>
      <w:bookmarkStart w:id="28" w:name="_Toc243314983"/>
      <w:r>
        <w:rPr>
          <w:rFonts w:hint="eastAsia"/>
        </w:rPr>
        <w:t>田间管理</w:t>
      </w:r>
      <w:bookmarkEnd w:id="28"/>
    </w:p>
    <w:p w14:paraId="44F61320">
      <w:pPr>
        <w:pStyle w:val="62"/>
        <w:spacing w:before="120" w:after="120"/>
      </w:pPr>
      <w:r>
        <w:rPr>
          <w:rFonts w:hint="eastAsia"/>
        </w:rPr>
        <w:t>中耕管理</w:t>
      </w:r>
    </w:p>
    <w:p w14:paraId="2F489A54">
      <w:pPr>
        <w:pStyle w:val="37"/>
        <w:ind w:firstLine="420"/>
      </w:pPr>
      <w:r>
        <w:rPr>
          <w:rFonts w:hint="eastAsia"/>
        </w:rPr>
        <w:t>在大豆3片～4片复叶期进行中耕1次，中耕作业深度20 cm～25 cm，培土深度10 cm～12 cm；培土量以不埋苗、不压行、不覆盖滴灌带为宜。</w:t>
      </w:r>
    </w:p>
    <w:p w14:paraId="0F554AFB">
      <w:pPr>
        <w:pStyle w:val="62"/>
        <w:spacing w:before="120" w:after="120"/>
      </w:pPr>
      <w:r>
        <w:rPr>
          <w:rFonts w:hint="eastAsia"/>
        </w:rPr>
        <w:t>排盐排涝</w:t>
      </w:r>
    </w:p>
    <w:p w14:paraId="562A3714">
      <w:pPr>
        <w:pStyle w:val="37"/>
        <w:ind w:firstLine="420"/>
      </w:pPr>
      <w:r>
        <w:rPr>
          <w:rFonts w:hint="eastAsia"/>
        </w:rPr>
        <w:t>生育期间及时排除春季融雪和夏季降雨造成的田间积水，汛期加强巡田，发现积水及时疏通排水沟排除，防止长期积盐积涝。</w:t>
      </w:r>
    </w:p>
    <w:p w14:paraId="2C8FE770">
      <w:pPr>
        <w:pStyle w:val="63"/>
        <w:spacing w:before="240" w:after="240"/>
      </w:pPr>
      <w:bookmarkStart w:id="29" w:name="_Toc243314984"/>
      <w:r>
        <w:rPr>
          <w:rFonts w:hint="eastAsia"/>
        </w:rPr>
        <w:t>病虫草害防治</w:t>
      </w:r>
      <w:bookmarkEnd w:id="29"/>
    </w:p>
    <w:p w14:paraId="27AE801E">
      <w:pPr>
        <w:pStyle w:val="62"/>
        <w:spacing w:before="120" w:after="120"/>
      </w:pPr>
      <w:r>
        <w:rPr>
          <w:rFonts w:hint="eastAsia"/>
        </w:rPr>
        <w:t>药剂防治</w:t>
      </w:r>
    </w:p>
    <w:p w14:paraId="6C75BCDD">
      <w:pPr>
        <w:pStyle w:val="37"/>
        <w:ind w:firstLine="420"/>
      </w:pPr>
      <w:r>
        <w:rPr>
          <w:rFonts w:hint="eastAsia"/>
        </w:rPr>
        <w:t>农药的选择和使用应符合GB/T 8321（所有部分）、GB 12475和NY/T 1276的规定，并按农药产品标签标注的防治对象、用药量、施药时期和安全间隔期使用。优先选用高效、低毒、低残留农药，不同作用机理的农药宜交替使用。</w:t>
      </w:r>
    </w:p>
    <w:p w14:paraId="7BDB4C70">
      <w:pPr>
        <w:pStyle w:val="62"/>
        <w:spacing w:before="120" w:after="120"/>
      </w:pPr>
      <w:r>
        <w:rPr>
          <w:rFonts w:hint="eastAsia"/>
        </w:rPr>
        <w:t>除草</w:t>
      </w:r>
    </w:p>
    <w:p w14:paraId="27106318">
      <w:pPr>
        <w:pStyle w:val="72"/>
        <w:spacing w:before="120" w:after="120"/>
      </w:pPr>
      <w:r>
        <w:rPr>
          <w:rFonts w:hint="eastAsia"/>
        </w:rPr>
        <w:t>土壤封闭</w:t>
      </w:r>
    </w:p>
    <w:p w14:paraId="3AB653AE">
      <w:pPr>
        <w:pStyle w:val="37"/>
        <w:ind w:firstLine="420"/>
      </w:pPr>
      <w:r>
        <w:rPr>
          <w:rFonts w:hint="eastAsia"/>
        </w:rPr>
        <w:t>播种后3 d内（出苗前）进行土壤封闭处理。可选用乙草胺+异噁草松+丙炔氟草胺复配制剂，按产品登记用量兑水30 L/667 m²～45 L/667 m²均匀喷雾于垄面。施药时垄面平整细碎、墒情适宜，施药后避免破坏药膜。除草剂使用应符合NY/T 1997的规定。</w:t>
      </w:r>
    </w:p>
    <w:p w14:paraId="7FB50A61">
      <w:pPr>
        <w:pStyle w:val="72"/>
        <w:spacing w:before="120" w:after="120"/>
      </w:pPr>
      <w:r>
        <w:rPr>
          <w:rFonts w:hint="eastAsia"/>
        </w:rPr>
        <w:t>苗后茎叶处理</w:t>
      </w:r>
    </w:p>
    <w:p w14:paraId="5F5C3913">
      <w:pPr>
        <w:pStyle w:val="37"/>
        <w:ind w:firstLine="420"/>
      </w:pPr>
      <w:r>
        <w:rPr>
          <w:rFonts w:hint="eastAsia"/>
        </w:rPr>
        <w:t>在大豆2片～3片复叶期、杂草3叶～5叶期进行茎叶处理。防除阔叶杂草可选用灭草松，防除禾本科杂草可选用高效氟吡甲禾灵、精喹禾灵等药剂；防除芦苇可于芦苇生长旺盛期施用高效氟吡甲禾灵，按产品登记用量茎叶喷雾。施药时避免药液接触大豆心叶，除草剂使用应符合NY/T 1997的规定。</w:t>
      </w:r>
    </w:p>
    <w:p w14:paraId="70068842">
      <w:pPr>
        <w:pStyle w:val="62"/>
        <w:spacing w:before="120" w:after="120"/>
      </w:pPr>
      <w:r>
        <w:rPr>
          <w:rFonts w:hint="eastAsia"/>
        </w:rPr>
        <w:t>病害</w:t>
      </w:r>
    </w:p>
    <w:p w14:paraId="45A63D91">
      <w:pPr>
        <w:pStyle w:val="37"/>
        <w:ind w:firstLine="420"/>
      </w:pPr>
      <w:r>
        <w:rPr>
          <w:rFonts w:hint="eastAsia"/>
        </w:rPr>
        <w:t>应防治疫霉根腐病和灰斑病，防治大豆疫霉根腐病以种子处理为主，可选用三氟吡啶胺等种衣剂包衣。发病初期可喷施噻呋酰胺、吡唑醚菌酯或多菌灵灌根，灰斑病等病害防治应符合NY/T 2159的规定。</w:t>
      </w:r>
    </w:p>
    <w:p w14:paraId="1594CB9B">
      <w:pPr>
        <w:pStyle w:val="62"/>
        <w:spacing w:before="120" w:after="120"/>
      </w:pPr>
      <w:r>
        <w:rPr>
          <w:rFonts w:hint="eastAsia"/>
        </w:rPr>
        <w:t>虫害</w:t>
      </w:r>
    </w:p>
    <w:p w14:paraId="0853AA51">
      <w:pPr>
        <w:pStyle w:val="37"/>
        <w:ind w:firstLine="420"/>
      </w:pPr>
      <w:r>
        <w:rPr>
          <w:rFonts w:hint="eastAsia"/>
        </w:rPr>
        <w:t>应防治大豆食心虫和大豆蚜虫。大豆食心虫于成虫盛期至幼虫入荚前，可选用高效氯氟氰菊酯、溴氰菊酯等菊酯类药剂，采用无人机飞防或机械喷雾方式防治，按产品登记用量施药；大豆蚜虫于点片发生期选用吡虫啉、噻虫嗪等药剂防治，同时兼治红蜘蛛。虫害防治应符合NY/T 2159的规定。</w:t>
      </w:r>
    </w:p>
    <w:p w14:paraId="0CB990F6">
      <w:pPr>
        <w:pStyle w:val="63"/>
        <w:spacing w:before="240" w:after="240"/>
      </w:pPr>
      <w:bookmarkStart w:id="30" w:name="_Toc243314985"/>
      <w:r>
        <w:rPr>
          <w:rFonts w:hint="eastAsia"/>
        </w:rPr>
        <w:t>收获</w:t>
      </w:r>
      <w:bookmarkEnd w:id="30"/>
    </w:p>
    <w:p w14:paraId="45FAF54C">
      <w:pPr>
        <w:pStyle w:val="62"/>
        <w:spacing w:before="120" w:after="120"/>
      </w:pPr>
      <w:r>
        <w:rPr>
          <w:rFonts w:hint="eastAsia"/>
        </w:rPr>
        <w:t>收获时间</w:t>
      </w:r>
    </w:p>
    <w:p w14:paraId="47A14CD6">
      <w:pPr>
        <w:pStyle w:val="37"/>
        <w:ind w:firstLine="420"/>
      </w:pPr>
      <w:r>
        <w:rPr>
          <w:rFonts w:hint="eastAsia"/>
        </w:rPr>
        <w:t>9月末至10月初，大豆植株黄熟末期至完熟初期，大豆叶片全部脱落、籽粒呈本品种固有形状，籽粒含水量降至14%以下时适时收获。</w:t>
      </w:r>
    </w:p>
    <w:p w14:paraId="120D7A9F">
      <w:pPr>
        <w:pStyle w:val="62"/>
        <w:spacing w:before="120" w:after="120"/>
      </w:pPr>
      <w:r>
        <w:rPr>
          <w:rFonts w:hint="eastAsia"/>
        </w:rPr>
        <w:t>收获方法</w:t>
      </w:r>
    </w:p>
    <w:p w14:paraId="2A25E72D">
      <w:pPr>
        <w:pStyle w:val="37"/>
        <w:ind w:firstLine="420"/>
      </w:pPr>
      <w:r>
        <w:rPr>
          <w:rFonts w:hint="eastAsia"/>
        </w:rPr>
        <w:t>采用大豆联合收获机进行机械收获。割茬高度以不留底荚为准，一般控制在5 cm～8 cm。</w:t>
      </w:r>
    </w:p>
    <w:p w14:paraId="0B2272C8">
      <w:pPr>
        <w:pStyle w:val="62"/>
        <w:spacing w:before="120" w:after="120"/>
      </w:pPr>
      <w:r>
        <w:rPr>
          <w:rFonts w:hint="eastAsia"/>
        </w:rPr>
        <w:t>回收滴灌带</w:t>
      </w:r>
    </w:p>
    <w:p w14:paraId="439A166F">
      <w:pPr>
        <w:pStyle w:val="37"/>
        <w:ind w:firstLine="420"/>
      </w:pPr>
      <w:r>
        <w:rPr>
          <w:rFonts w:hint="eastAsia"/>
        </w:rPr>
        <w:t>收获后及时回收干管、支管、滴灌带和相关配件，以旧换新或送至回收网点，避免残膜污染农田。</w:t>
      </w:r>
    </w:p>
    <w:p w14:paraId="095B6782">
      <w:pPr>
        <w:pStyle w:val="63"/>
        <w:spacing w:before="240" w:after="240"/>
      </w:pPr>
      <w:bookmarkStart w:id="31" w:name="_Toc243314986"/>
      <w:r>
        <w:rPr>
          <w:rFonts w:hint="eastAsia"/>
        </w:rPr>
        <w:t>生产档案</w:t>
      </w:r>
      <w:bookmarkEnd w:id="31"/>
    </w:p>
    <w:p w14:paraId="129EAF23">
      <w:pPr>
        <w:pStyle w:val="37"/>
        <w:ind w:firstLine="420"/>
      </w:pPr>
      <w:r>
        <w:rPr>
          <w:rFonts w:hint="eastAsia"/>
        </w:rPr>
        <w:t>应建立生产档案，内容包括选地、整地、滴灌管网铺设、种子准备、播种、水肥管理、田间管理、病虫草害防治、收获和回收滴灌带等，档案保存不少于2年。</w:t>
      </w:r>
    </w:p>
    <w:p w14:paraId="6CB17B13">
      <w:pPr>
        <w:pStyle w:val="140"/>
        <w:spacing w:after="120"/>
      </w:pPr>
      <w:bookmarkStart w:id="32" w:name="_Toc243314987"/>
      <w:r>
        <w:rPr>
          <w:rFonts w:hint="eastAsia"/>
        </w:rPr>
        <w:t>（资料性）苏打盐碱地大豆适宜种植密度</w:t>
      </w:r>
      <w:bookmarkEnd w:id="32"/>
    </w:p>
    <w:p w14:paraId="6FCB6BEE">
      <w:pPr>
        <w:pStyle w:val="37"/>
        <w:ind w:firstLine="420"/>
      </w:pPr>
      <w:r>
        <w:rPr>
          <w:rFonts w:hint="eastAsia"/>
        </w:rPr>
        <w:t>苏打盐碱地大豆适宜种植密度见表A.1。各地应根据当地有效积温、土壤盐碱程度和品种特性选择品种，并通过试验确定适宜密度。</w:t>
      </w:r>
    </w:p>
    <w:p w14:paraId="69F8762E">
      <w:pPr>
        <w:pStyle w:val="136"/>
        <w:spacing w:before="120" w:after="120"/>
      </w:pPr>
      <w:r>
        <w:rPr>
          <w:rFonts w:hint="eastAsia"/>
        </w:rPr>
        <w:t>苏打盐碱地大豆适宜种植密度</w:t>
      </w:r>
    </w:p>
    <w:tbl>
      <w:tblPr>
        <w:tblStyle w:val="27"/>
        <w:tblW w:w="9100"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40" w:type="dxa"/>
          <w:left w:w="80" w:type="dxa"/>
          <w:bottom w:w="40" w:type="dxa"/>
          <w:right w:w="80" w:type="dxa"/>
        </w:tblCellMar>
      </w:tblPr>
      <w:tblGrid>
        <w:gridCol w:w="1200"/>
        <w:gridCol w:w="1300"/>
        <w:gridCol w:w="1100"/>
        <w:gridCol w:w="1700"/>
        <w:gridCol w:w="3800"/>
      </w:tblGrid>
      <w:tr w14:paraId="4030550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40" w:type="dxa"/>
            <w:left w:w="80" w:type="dxa"/>
            <w:bottom w:w="40" w:type="dxa"/>
            <w:right w:w="80" w:type="dxa"/>
          </w:tblCellMar>
        </w:tblPrEx>
        <w:trPr>
          <w:tblHeader/>
          <w:jc w:val="center"/>
        </w:trPr>
        <w:tc>
          <w:tcPr>
            <w:tcW w:w="1200" w:type="dxa"/>
            <w:vAlign w:val="center"/>
          </w:tcPr>
          <w:p w14:paraId="7BDAB220">
            <w:pPr>
              <w:spacing w:line="240" w:lineRule="auto"/>
              <w:jc w:val="center"/>
            </w:pPr>
            <w:r>
              <w:rPr>
                <w:rFonts w:hint="eastAsia"/>
                <w:b/>
              </w:rPr>
              <w:t>盐碱程度</w:t>
            </w:r>
          </w:p>
        </w:tc>
        <w:tc>
          <w:tcPr>
            <w:tcW w:w="1300" w:type="dxa"/>
            <w:vAlign w:val="center"/>
          </w:tcPr>
          <w:p w14:paraId="0FF079A7">
            <w:pPr>
              <w:spacing w:line="240" w:lineRule="auto"/>
              <w:jc w:val="center"/>
            </w:pPr>
            <w:r>
              <w:rPr>
                <w:rFonts w:hint="eastAsia"/>
                <w:b/>
              </w:rPr>
              <w:t>土壤pH值</w:t>
            </w:r>
          </w:p>
        </w:tc>
        <w:tc>
          <w:tcPr>
            <w:tcW w:w="1100" w:type="dxa"/>
            <w:vAlign w:val="center"/>
          </w:tcPr>
          <w:p w14:paraId="1777B13F">
            <w:pPr>
              <w:spacing w:line="240" w:lineRule="auto"/>
              <w:jc w:val="center"/>
            </w:pPr>
            <w:r>
              <w:rPr>
                <w:rFonts w:hint="eastAsia"/>
                <w:b/>
              </w:rPr>
              <w:t>生育期/d</w:t>
            </w:r>
          </w:p>
        </w:tc>
        <w:tc>
          <w:tcPr>
            <w:tcW w:w="1700" w:type="dxa"/>
            <w:vAlign w:val="center"/>
          </w:tcPr>
          <w:p w14:paraId="65D76C7D">
            <w:pPr>
              <w:spacing w:line="240" w:lineRule="auto"/>
              <w:jc w:val="center"/>
            </w:pPr>
            <w:r>
              <w:rPr>
                <w:rFonts w:hint="eastAsia"/>
                <w:b/>
              </w:rPr>
              <w:t>适宜密度/（万株/hm²）</w:t>
            </w:r>
          </w:p>
        </w:tc>
        <w:tc>
          <w:tcPr>
            <w:tcW w:w="3800" w:type="dxa"/>
            <w:vAlign w:val="center"/>
          </w:tcPr>
          <w:p w14:paraId="1469F6DE">
            <w:pPr>
              <w:spacing w:line="240" w:lineRule="auto"/>
              <w:jc w:val="center"/>
            </w:pPr>
            <w:r>
              <w:rPr>
                <w:rFonts w:hint="eastAsia"/>
                <w:b/>
              </w:rPr>
              <w:t>种植要点</w:t>
            </w:r>
          </w:p>
        </w:tc>
      </w:tr>
      <w:tr w14:paraId="3EEE2F2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40" w:type="dxa"/>
            <w:left w:w="80" w:type="dxa"/>
            <w:bottom w:w="40" w:type="dxa"/>
            <w:right w:w="80" w:type="dxa"/>
          </w:tblCellMar>
        </w:tblPrEx>
        <w:trPr>
          <w:jc w:val="center"/>
        </w:trPr>
        <w:tc>
          <w:tcPr>
            <w:tcW w:w="1200" w:type="dxa"/>
            <w:vAlign w:val="center"/>
          </w:tcPr>
          <w:p w14:paraId="1939BD3D">
            <w:pPr>
              <w:spacing w:line="240" w:lineRule="auto"/>
              <w:jc w:val="center"/>
            </w:pPr>
            <w:r>
              <w:rPr>
                <w:rFonts w:hint="eastAsia"/>
              </w:rPr>
              <w:t>轻度</w:t>
            </w:r>
          </w:p>
        </w:tc>
        <w:tc>
          <w:tcPr>
            <w:tcW w:w="1300" w:type="dxa"/>
            <w:vAlign w:val="center"/>
          </w:tcPr>
          <w:p w14:paraId="571D97A3">
            <w:pPr>
              <w:spacing w:line="240" w:lineRule="auto"/>
              <w:jc w:val="center"/>
            </w:pPr>
            <w:r>
              <w:rPr>
                <w:rFonts w:hint="eastAsia"/>
              </w:rPr>
              <w:t>8.5～9.0</w:t>
            </w:r>
          </w:p>
        </w:tc>
        <w:tc>
          <w:tcPr>
            <w:tcW w:w="1100" w:type="dxa"/>
            <w:vAlign w:val="center"/>
          </w:tcPr>
          <w:p w14:paraId="254F3730">
            <w:pPr>
              <w:spacing w:line="240" w:lineRule="auto"/>
              <w:jc w:val="center"/>
            </w:pPr>
            <w:r>
              <w:rPr>
                <w:rFonts w:hint="eastAsia"/>
              </w:rPr>
              <w:t>118～123</w:t>
            </w:r>
          </w:p>
        </w:tc>
        <w:tc>
          <w:tcPr>
            <w:tcW w:w="1700" w:type="dxa"/>
            <w:vAlign w:val="center"/>
          </w:tcPr>
          <w:p w14:paraId="6B04E049">
            <w:pPr>
              <w:spacing w:line="240" w:lineRule="auto"/>
              <w:jc w:val="center"/>
            </w:pPr>
            <w:r>
              <w:rPr>
                <w:rFonts w:hint="eastAsia"/>
              </w:rPr>
              <w:t>33～36</w:t>
            </w:r>
          </w:p>
        </w:tc>
        <w:tc>
          <w:tcPr>
            <w:tcW w:w="3800" w:type="dxa"/>
            <w:vAlign w:val="center"/>
          </w:tcPr>
          <w:p w14:paraId="351D4509">
            <w:pPr>
              <w:spacing w:line="240" w:lineRule="auto"/>
              <w:jc w:val="center"/>
            </w:pPr>
            <w:r>
              <w:rPr>
                <w:rFonts w:hint="eastAsia"/>
              </w:rPr>
              <w:t>出苗较整齐，可选用繁茂性中等的品种</w:t>
            </w:r>
          </w:p>
        </w:tc>
      </w:tr>
      <w:tr w14:paraId="7C4843B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40" w:type="dxa"/>
            <w:left w:w="80" w:type="dxa"/>
            <w:bottom w:w="40" w:type="dxa"/>
            <w:right w:w="80" w:type="dxa"/>
          </w:tblCellMar>
        </w:tblPrEx>
        <w:trPr>
          <w:jc w:val="center"/>
        </w:trPr>
        <w:tc>
          <w:tcPr>
            <w:tcW w:w="1200" w:type="dxa"/>
            <w:vAlign w:val="center"/>
          </w:tcPr>
          <w:p w14:paraId="5292DC0E">
            <w:pPr>
              <w:spacing w:line="240" w:lineRule="auto"/>
              <w:jc w:val="center"/>
            </w:pPr>
            <w:r>
              <w:rPr>
                <w:rFonts w:hint="eastAsia"/>
              </w:rPr>
              <w:t>中度</w:t>
            </w:r>
          </w:p>
        </w:tc>
        <w:tc>
          <w:tcPr>
            <w:tcW w:w="1300" w:type="dxa"/>
            <w:vAlign w:val="center"/>
          </w:tcPr>
          <w:p w14:paraId="6710E178">
            <w:pPr>
              <w:spacing w:line="240" w:lineRule="auto"/>
              <w:jc w:val="center"/>
            </w:pPr>
            <w:r>
              <w:rPr>
                <w:rFonts w:hint="eastAsia"/>
              </w:rPr>
              <w:t>9.0～9.5</w:t>
            </w:r>
          </w:p>
        </w:tc>
        <w:tc>
          <w:tcPr>
            <w:tcW w:w="1100" w:type="dxa"/>
            <w:vAlign w:val="center"/>
          </w:tcPr>
          <w:p w14:paraId="0DA6B760">
            <w:pPr>
              <w:spacing w:line="240" w:lineRule="auto"/>
              <w:jc w:val="center"/>
            </w:pPr>
            <w:r>
              <w:rPr>
                <w:rFonts w:hint="eastAsia"/>
              </w:rPr>
              <w:t>115～120</w:t>
            </w:r>
          </w:p>
        </w:tc>
        <w:tc>
          <w:tcPr>
            <w:tcW w:w="1700" w:type="dxa"/>
            <w:vAlign w:val="center"/>
          </w:tcPr>
          <w:p w14:paraId="4FD59E3D">
            <w:pPr>
              <w:spacing w:line="240" w:lineRule="auto"/>
              <w:jc w:val="center"/>
            </w:pPr>
            <w:r>
              <w:rPr>
                <w:rFonts w:hint="eastAsia"/>
              </w:rPr>
              <w:t>36～40</w:t>
            </w:r>
          </w:p>
        </w:tc>
        <w:tc>
          <w:tcPr>
            <w:tcW w:w="3800" w:type="dxa"/>
            <w:vAlign w:val="center"/>
          </w:tcPr>
          <w:p w14:paraId="5124651F">
            <w:pPr>
              <w:spacing w:line="240" w:lineRule="auto"/>
              <w:jc w:val="center"/>
            </w:pPr>
            <w:r>
              <w:rPr>
                <w:rFonts w:hint="eastAsia"/>
              </w:rPr>
              <w:t>适当增加密度，强化苗期管理</w:t>
            </w:r>
          </w:p>
        </w:tc>
      </w:tr>
      <w:tr w14:paraId="14463D80">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40" w:type="dxa"/>
            <w:left w:w="80" w:type="dxa"/>
            <w:bottom w:w="40" w:type="dxa"/>
            <w:right w:w="80" w:type="dxa"/>
          </w:tblCellMar>
        </w:tblPrEx>
        <w:trPr>
          <w:jc w:val="center"/>
        </w:trPr>
        <w:tc>
          <w:tcPr>
            <w:tcW w:w="1200" w:type="dxa"/>
            <w:vAlign w:val="center"/>
          </w:tcPr>
          <w:p w14:paraId="7B5B453B">
            <w:pPr>
              <w:spacing w:line="240" w:lineRule="auto"/>
              <w:jc w:val="center"/>
            </w:pPr>
            <w:r>
              <w:rPr>
                <w:rFonts w:hint="eastAsia"/>
              </w:rPr>
              <w:t>重度</w:t>
            </w:r>
          </w:p>
        </w:tc>
        <w:tc>
          <w:tcPr>
            <w:tcW w:w="1300" w:type="dxa"/>
            <w:vAlign w:val="center"/>
          </w:tcPr>
          <w:p w14:paraId="777BE2A3">
            <w:pPr>
              <w:spacing w:line="240" w:lineRule="auto"/>
              <w:jc w:val="center"/>
            </w:pPr>
            <w:r>
              <w:rPr>
                <w:rFonts w:hint="eastAsia"/>
              </w:rPr>
              <w:t>≥9.5</w:t>
            </w:r>
          </w:p>
        </w:tc>
        <w:tc>
          <w:tcPr>
            <w:tcW w:w="1100" w:type="dxa"/>
            <w:vAlign w:val="center"/>
          </w:tcPr>
          <w:p w14:paraId="66B2914E">
            <w:pPr>
              <w:spacing w:line="240" w:lineRule="auto"/>
              <w:jc w:val="center"/>
            </w:pPr>
            <w:r>
              <w:rPr>
                <w:rFonts w:hint="eastAsia"/>
              </w:rPr>
              <w:t>110～118</w:t>
            </w:r>
          </w:p>
        </w:tc>
        <w:tc>
          <w:tcPr>
            <w:tcW w:w="1700" w:type="dxa"/>
            <w:vAlign w:val="center"/>
          </w:tcPr>
          <w:p w14:paraId="6B7D548B">
            <w:pPr>
              <w:spacing w:line="240" w:lineRule="auto"/>
              <w:jc w:val="center"/>
            </w:pPr>
            <w:r>
              <w:rPr>
                <w:rFonts w:hint="eastAsia"/>
              </w:rPr>
              <w:t>40～45</w:t>
            </w:r>
          </w:p>
        </w:tc>
        <w:tc>
          <w:tcPr>
            <w:tcW w:w="3800" w:type="dxa"/>
            <w:vAlign w:val="center"/>
          </w:tcPr>
          <w:p w14:paraId="42215853">
            <w:pPr>
              <w:spacing w:line="240" w:lineRule="auto"/>
              <w:jc w:val="center"/>
            </w:pPr>
            <w:r>
              <w:rPr>
                <w:rFonts w:hint="eastAsia"/>
              </w:rPr>
              <w:t>选用耐盐碱性强的品种，加大密度、以密补弱</w:t>
            </w:r>
          </w:p>
        </w:tc>
      </w:tr>
    </w:tbl>
    <w:p w14:paraId="65B206B4">
      <w:pPr>
        <w:pStyle w:val="37"/>
        <w:ind w:firstLine="420"/>
      </w:pPr>
    </w:p>
    <w:p w14:paraId="79B811DC">
      <w:pPr>
        <w:pStyle w:val="118"/>
        <w:spacing w:after="120"/>
      </w:pPr>
      <w:bookmarkStart w:id="33" w:name="_Toc243314988"/>
      <w:r>
        <w:rPr>
          <w:rFonts w:hint="eastAsia"/>
          <w:spacing w:val="105"/>
        </w:rPr>
        <w:t>参考文</w:t>
      </w:r>
      <w:r>
        <w:rPr>
          <w:rFonts w:hint="eastAsia"/>
        </w:rPr>
        <w:t>献</w:t>
      </w:r>
      <w:bookmarkEnd w:id="33"/>
    </w:p>
    <w:p w14:paraId="25922966">
      <w:pPr>
        <w:pStyle w:val="37"/>
        <w:ind w:firstLine="420"/>
      </w:pPr>
      <w:r>
        <w:rPr>
          <w:rFonts w:hint="eastAsia"/>
        </w:rPr>
        <w:t>[1] DB15/T 2441—2021 大豆大垄密植浅埋滴灌栽培技术规程[S].</w:t>
      </w:r>
    </w:p>
    <w:p w14:paraId="734AE6EC">
      <w:pPr>
        <w:pStyle w:val="37"/>
        <w:ind w:firstLine="420"/>
      </w:pPr>
    </w:p>
    <w:p w14:paraId="1B89E6C5">
      <w:pPr>
        <w:pStyle w:val="37"/>
        <w:ind w:firstLine="420"/>
      </w:pPr>
    </w:p>
    <w:p w14:paraId="1466D0F0">
      <w:pPr>
        <w:pStyle w:val="37"/>
        <w:ind w:firstLine="420"/>
      </w:pPr>
    </w:p>
    <w:p w14:paraId="476A3199">
      <w:pPr>
        <w:pStyle w:val="37"/>
        <w:ind w:firstLine="420"/>
      </w:pPr>
    </w:p>
    <w:p w14:paraId="4FFD8D14">
      <w:pPr>
        <w:pStyle w:val="37"/>
        <w:ind w:firstLine="420"/>
      </w:pPr>
    </w:p>
    <w:sectPr>
      <w:pgSz w:w="11906" w:h="16838"/>
      <w:pgMar w:top="1928" w:right="1134" w:bottom="1134" w:left="1134" w:header="1418" w:footer="1134" w:gutter="283"/>
      <w:cols w:space="720"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A972F">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AEF8A">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30D28">
    <w:pPr>
      <w:pStyle w:val="8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B3CA8">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D15EC">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7FC8A">
    <w:pPr>
      <w:pStyle w:val="39"/>
      <w:rPr>
        <w:rFonts w:hint="eastAsia"/>
      </w:rPr>
    </w:pPr>
    <w:r>
      <w:rPr>
        <w:rFonts w:hint="eastAsia"/>
      </w:rPr>
      <w:t>T/BSCXXXX—2026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93"/>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75"/>
      <w:suff w:val="nothing"/>
      <w:lvlText w:val="%1%2.%3　"/>
      <w:lvlJc w:val="left"/>
      <w:pPr>
        <w:ind w:left="0" w:firstLine="0"/>
      </w:pPr>
    </w:lvl>
    <w:lvl w:ilvl="3" w:tentative="0">
      <w:start w:val="1"/>
      <w:numFmt w:val="decimal"/>
      <w:pStyle w:val="215"/>
      <w:suff w:val="nothing"/>
      <w:lvlText w:val="%1%2.%3.%4　"/>
      <w:lvlJc w:val="left"/>
      <w:pPr>
        <w:ind w:left="0" w:firstLine="0"/>
      </w:pPr>
    </w:lvl>
    <w:lvl w:ilvl="4" w:tentative="0">
      <w:start w:val="1"/>
      <w:numFmt w:val="decimal"/>
      <w:pStyle w:val="222"/>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05"/>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4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154"/>
      <w:lvlText w:val="%1"/>
      <w:lvlJc w:val="left"/>
      <w:pPr>
        <w:ind w:left="425" w:hanging="425"/>
      </w:pPr>
      <w:rPr>
        <w:rFonts w:hint="eastAsia"/>
      </w:rPr>
    </w:lvl>
    <w:lvl w:ilvl="1" w:tentative="0">
      <w:start w:val="1"/>
      <w:numFmt w:val="decimal"/>
      <w:pStyle w:val="168"/>
      <w:suff w:val="nothing"/>
      <w:lvlText w:val="%10.%2 "/>
      <w:lvlJc w:val="left"/>
      <w:pPr>
        <w:ind w:left="0" w:firstLine="0"/>
      </w:pPr>
      <w:rPr>
        <w:rFonts w:hint="eastAsia" w:ascii="黑体" w:hAnsi="等线" w:eastAsia="黑体"/>
        <w:b w:val="0"/>
        <w:i w:val="0"/>
        <w:sz w:val="21"/>
      </w:rPr>
    </w:lvl>
    <w:lvl w:ilvl="2" w:tentative="0">
      <w:start w:val="1"/>
      <w:numFmt w:val="decimal"/>
      <w:pStyle w:val="123"/>
      <w:suff w:val="nothing"/>
      <w:lvlText w:val="%10.%2.%3 "/>
      <w:lvlJc w:val="left"/>
      <w:pPr>
        <w:ind w:left="0" w:firstLine="0"/>
      </w:pPr>
      <w:rPr>
        <w:rFonts w:hint="eastAsia" w:ascii="黑体" w:hAnsi="等线" w:eastAsia="黑体"/>
        <w:b w:val="0"/>
        <w:i w:val="0"/>
        <w:sz w:val="21"/>
      </w:rPr>
    </w:lvl>
    <w:lvl w:ilvl="3" w:tentative="0">
      <w:start w:val="1"/>
      <w:numFmt w:val="decimal"/>
      <w:pStyle w:val="125"/>
      <w:suff w:val="nothing"/>
      <w:lvlText w:val="%10.%2.%3.%4 "/>
      <w:lvlJc w:val="left"/>
      <w:pPr>
        <w:ind w:left="0" w:firstLine="0"/>
      </w:pPr>
      <w:rPr>
        <w:rFonts w:hint="eastAsia" w:ascii="黑体" w:hAnsi="等线" w:eastAsia="黑体"/>
        <w:b w:val="0"/>
        <w:i w:val="0"/>
        <w:sz w:val="21"/>
      </w:rPr>
    </w:lvl>
    <w:lvl w:ilvl="4" w:tentative="0">
      <w:start w:val="1"/>
      <w:numFmt w:val="decimal"/>
      <w:pStyle w:val="70"/>
      <w:suff w:val="nothing"/>
      <w:lvlText w:val="%10.%2.%3.%4.%5 "/>
      <w:lvlJc w:val="left"/>
      <w:pPr>
        <w:ind w:left="0" w:firstLine="0"/>
      </w:pPr>
      <w:rPr>
        <w:rFonts w:hint="eastAsia" w:ascii="黑体" w:hAnsi="等线" w:eastAsia="黑体"/>
        <w:b w:val="0"/>
        <w:i w:val="0"/>
        <w:sz w:val="21"/>
      </w:rPr>
    </w:lvl>
    <w:lvl w:ilvl="5" w:tentative="0">
      <w:start w:val="1"/>
      <w:numFmt w:val="decimal"/>
      <w:pStyle w:val="46"/>
      <w:suff w:val="nothing"/>
      <w:lvlText w:val="%10.%2.%3.%4.%5.%6 "/>
      <w:lvlJc w:val="left"/>
      <w:pPr>
        <w:ind w:left="0" w:firstLine="0"/>
      </w:pPr>
      <w:rPr>
        <w:rFonts w:hint="eastAsia" w:ascii="黑体" w:hAnsi="等线" w:eastAsia="黑体"/>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9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8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0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153"/>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74"/>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210"/>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11"/>
      <w:lvlText w:val=""/>
      <w:lvlJc w:val="left"/>
      <w:pPr>
        <w:ind w:left="851" w:hanging="431"/>
      </w:pPr>
      <w:rPr>
        <w:rFonts w:hint="default" w:ascii="Symbol" w:hAnsi="Symbol"/>
        <w:sz w:val="21"/>
      </w:rPr>
    </w:lvl>
    <w:lvl w:ilvl="2" w:tentative="0">
      <w:start w:val="1"/>
      <w:numFmt w:val="bullet"/>
      <w:pStyle w:val="9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50"/>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24"/>
      <w:lvlText w:val="%1)"/>
      <w:lvlJc w:val="left"/>
      <w:pPr>
        <w:tabs>
          <w:tab w:val="left" w:pos="851"/>
        </w:tabs>
        <w:ind w:left="851" w:hanging="426"/>
      </w:pPr>
      <w:rPr>
        <w:rFonts w:hint="eastAsia" w:ascii="宋体" w:hAnsi="Times New Roman" w:eastAsia="宋体"/>
        <w:sz w:val="21"/>
      </w:rPr>
    </w:lvl>
    <w:lvl w:ilvl="1" w:tentative="0">
      <w:start w:val="1"/>
      <w:numFmt w:val="decimal"/>
      <w:pStyle w:val="163"/>
      <w:lvlText w:val="%2)"/>
      <w:lvlJc w:val="left"/>
      <w:pPr>
        <w:tabs>
          <w:tab w:val="left" w:pos="1276"/>
        </w:tabs>
        <w:ind w:left="1276" w:hanging="425"/>
      </w:pPr>
      <w:rPr>
        <w:rFonts w:hint="eastAsia" w:ascii="宋体" w:hAnsi="Times New Roman" w:eastAsia="宋体"/>
        <w:sz w:val="21"/>
      </w:rPr>
    </w:lvl>
    <w:lvl w:ilvl="2" w:tentative="0">
      <w:start w:val="1"/>
      <w:numFmt w:val="decimal"/>
      <w:pStyle w:val="172"/>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20"/>
      <w:lvlText w:val="%1"/>
      <w:lvlJc w:val="left"/>
      <w:pPr>
        <w:ind w:left="420" w:hanging="420"/>
      </w:pPr>
      <w:rPr>
        <w:rFonts w:hint="eastAsia"/>
      </w:rPr>
    </w:lvl>
    <w:lvl w:ilvl="1" w:tentative="0">
      <w:start w:val="1"/>
      <w:numFmt w:val="decimal"/>
      <w:pStyle w:val="159"/>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6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91"/>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7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22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55"/>
      <w:suff w:val="space"/>
      <w:lvlText w:val="%1"/>
      <w:lvlJc w:val="left"/>
      <w:pPr>
        <w:ind w:left="425" w:hanging="425"/>
      </w:pPr>
      <w:rPr>
        <w:rFonts w:hint="eastAsia"/>
      </w:rPr>
    </w:lvl>
    <w:lvl w:ilvl="1" w:tentative="0">
      <w:start w:val="1"/>
      <w:numFmt w:val="decimal"/>
      <w:pStyle w:val="136"/>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80"/>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75"/>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218"/>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52"/>
      <w:lvlText w:val="──"/>
      <w:lvlJc w:val="left"/>
      <w:pPr>
        <w:ind w:left="851" w:firstLine="0"/>
      </w:pPr>
      <w:rPr>
        <w:rFonts w:hint="eastAsia" w:ascii="宋体" w:hAnsi="等线 Light" w:eastAsia="宋体"/>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140"/>
      <w:suff w:val="nothing"/>
      <w:lvlText w:val="附录%1"/>
      <w:lvlJc w:val="left"/>
      <w:pPr>
        <w:ind w:left="0" w:firstLine="0"/>
      </w:pPr>
      <w:rPr>
        <w:rFonts w:hint="eastAsia"/>
        <w:spacing w:val="100"/>
      </w:rPr>
    </w:lvl>
    <w:lvl w:ilvl="1" w:tentative="0">
      <w:start w:val="1"/>
      <w:numFmt w:val="decimal"/>
      <w:pStyle w:val="86"/>
      <w:suff w:val="nothing"/>
      <w:lvlText w:val="%1.%2　"/>
      <w:lvlJc w:val="left"/>
      <w:pPr>
        <w:ind w:left="0" w:firstLine="0"/>
      </w:pPr>
      <w:rPr>
        <w:rFonts w:hint="eastAsia" w:ascii="黑体" w:eastAsia="黑体"/>
        <w:b w:val="0"/>
        <w:i w:val="0"/>
        <w:sz w:val="21"/>
      </w:rPr>
    </w:lvl>
    <w:lvl w:ilvl="2" w:tentative="0">
      <w:start w:val="1"/>
      <w:numFmt w:val="decimal"/>
      <w:pStyle w:val="85"/>
      <w:suff w:val="nothing"/>
      <w:lvlText w:val="%1.%2.%3　"/>
      <w:lvlJc w:val="left"/>
      <w:pPr>
        <w:ind w:left="0" w:firstLine="0"/>
      </w:pPr>
      <w:rPr>
        <w:rFonts w:hint="eastAsia" w:ascii="黑体" w:eastAsia="黑体"/>
        <w:b w:val="0"/>
        <w:i w:val="0"/>
        <w:sz w:val="21"/>
      </w:rPr>
    </w:lvl>
    <w:lvl w:ilvl="3" w:tentative="0">
      <w:start w:val="1"/>
      <w:numFmt w:val="decimal"/>
      <w:pStyle w:val="45"/>
      <w:suff w:val="nothing"/>
      <w:lvlText w:val="%1.%2.%3.%4　"/>
      <w:lvlJc w:val="left"/>
      <w:pPr>
        <w:ind w:left="0" w:firstLine="0"/>
      </w:pPr>
      <w:rPr>
        <w:rFonts w:hint="eastAsia" w:ascii="黑体" w:eastAsia="黑体"/>
        <w:b w:val="0"/>
        <w:i w:val="0"/>
        <w:sz w:val="21"/>
      </w:rPr>
    </w:lvl>
    <w:lvl w:ilvl="4" w:tentative="0">
      <w:start w:val="1"/>
      <w:numFmt w:val="decimal"/>
      <w:pStyle w:val="169"/>
      <w:suff w:val="nothing"/>
      <w:lvlText w:val="%1.%2.%3.%4.%5　"/>
      <w:lvlJc w:val="left"/>
      <w:pPr>
        <w:ind w:left="0" w:firstLine="0"/>
      </w:pPr>
      <w:rPr>
        <w:rFonts w:hint="eastAsia" w:ascii="黑体" w:eastAsia="黑体"/>
        <w:b w:val="0"/>
        <w:i w:val="0"/>
        <w:sz w:val="21"/>
      </w:rPr>
    </w:lvl>
    <w:lvl w:ilvl="5" w:tentative="0">
      <w:start w:val="1"/>
      <w:numFmt w:val="decimal"/>
      <w:pStyle w:val="209"/>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3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4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221"/>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42"/>
      <w:suff w:val="nothing"/>
      <w:lvlText w:val="%1"/>
      <w:lvlJc w:val="left"/>
      <w:pPr>
        <w:ind w:left="0" w:firstLine="0"/>
      </w:pPr>
      <w:rPr>
        <w:rFonts w:hint="eastAsia"/>
      </w:rPr>
    </w:lvl>
    <w:lvl w:ilvl="1" w:tentative="0">
      <w:start w:val="1"/>
      <w:numFmt w:val="decimal"/>
      <w:pStyle w:val="63"/>
      <w:suff w:val="nothing"/>
      <w:lvlText w:val="%1%2　"/>
      <w:lvlJc w:val="left"/>
      <w:pPr>
        <w:ind w:left="0" w:firstLine="0"/>
      </w:pPr>
      <w:rPr>
        <w:rFonts w:hint="eastAsia" w:ascii="黑体" w:eastAsia="黑体"/>
        <w:b w:val="0"/>
        <w:i w:val="0"/>
        <w:sz w:val="21"/>
      </w:rPr>
    </w:lvl>
    <w:lvl w:ilvl="2" w:tentative="0">
      <w:start w:val="1"/>
      <w:numFmt w:val="decimal"/>
      <w:pStyle w:val="62"/>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2"/>
      <w:suff w:val="nothing"/>
      <w:lvlText w:val="%1%2.%3.%4　"/>
      <w:lvlJc w:val="left"/>
      <w:pPr>
        <w:ind w:left="0" w:firstLine="0"/>
      </w:pPr>
      <w:rPr>
        <w:rFonts w:hint="eastAsia" w:ascii="黑体" w:eastAsia="黑体"/>
        <w:b w:val="0"/>
        <w:i w:val="0"/>
        <w:sz w:val="21"/>
      </w:rPr>
    </w:lvl>
    <w:lvl w:ilvl="4" w:tentative="0">
      <w:start w:val="1"/>
      <w:numFmt w:val="decimal"/>
      <w:pStyle w:val="71"/>
      <w:suff w:val="nothing"/>
      <w:lvlText w:val="%1%2.%3.%4.%5　"/>
      <w:lvlJc w:val="left"/>
      <w:pPr>
        <w:ind w:left="0" w:firstLine="0"/>
      </w:pPr>
      <w:rPr>
        <w:rFonts w:hint="eastAsia" w:ascii="黑体" w:eastAsia="黑体"/>
        <w:b w:val="0"/>
        <w:i w:val="0"/>
        <w:sz w:val="21"/>
      </w:rPr>
    </w:lvl>
    <w:lvl w:ilvl="5" w:tentative="0">
      <w:start w:val="1"/>
      <w:numFmt w:val="decimal"/>
      <w:pStyle w:val="42"/>
      <w:suff w:val="nothing"/>
      <w:lvlText w:val="%1%2.%3.%4.%5.%6　"/>
      <w:lvlJc w:val="left"/>
      <w:pPr>
        <w:ind w:left="0" w:firstLine="0"/>
      </w:pPr>
      <w:rPr>
        <w:rFonts w:hint="eastAsia" w:ascii="黑体" w:eastAsia="黑体"/>
        <w:b w:val="0"/>
        <w:i w:val="0"/>
        <w:sz w:val="21"/>
      </w:rPr>
    </w:lvl>
    <w:lvl w:ilvl="6" w:tentative="0">
      <w:start w:val="1"/>
      <w:numFmt w:val="decimal"/>
      <w:pStyle w:val="165"/>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98"/>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36"/>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21"/>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9"/>
  </w:num>
  <w:num w:numId="2">
    <w:abstractNumId w:val="27"/>
  </w:num>
  <w:num w:numId="3">
    <w:abstractNumId w:val="23"/>
  </w:num>
  <w:num w:numId="4">
    <w:abstractNumId w:val="3"/>
  </w:num>
  <w:num w:numId="5">
    <w:abstractNumId w:val="25"/>
  </w:num>
  <w:num w:numId="6">
    <w:abstractNumId w:val="11"/>
  </w:num>
  <w:num w:numId="7">
    <w:abstractNumId w:val="22"/>
  </w:num>
  <w:num w:numId="8">
    <w:abstractNumId w:val="18"/>
  </w:num>
  <w:num w:numId="9">
    <w:abstractNumId w:val="16"/>
  </w:num>
  <w:num w:numId="10">
    <w:abstractNumId w:val="9"/>
  </w:num>
  <w:num w:numId="11">
    <w:abstractNumId w:val="20"/>
  </w:num>
  <w:num w:numId="12">
    <w:abstractNumId w:val="5"/>
  </w:num>
  <w:num w:numId="13">
    <w:abstractNumId w:val="0"/>
  </w:num>
  <w:num w:numId="14">
    <w:abstractNumId w:val="4"/>
  </w:num>
  <w:num w:numId="15">
    <w:abstractNumId w:val="10"/>
  </w:num>
  <w:num w:numId="16">
    <w:abstractNumId w:val="28"/>
  </w:num>
  <w:num w:numId="17">
    <w:abstractNumId w:val="6"/>
  </w:num>
  <w:num w:numId="18">
    <w:abstractNumId w:val="1"/>
  </w:num>
  <w:num w:numId="19">
    <w:abstractNumId w:val="7"/>
  </w:num>
  <w:num w:numId="20">
    <w:abstractNumId w:val="30"/>
  </w:num>
  <w:num w:numId="21">
    <w:abstractNumId w:val="12"/>
  </w:num>
  <w:num w:numId="22">
    <w:abstractNumId w:val="24"/>
  </w:num>
  <w:num w:numId="23">
    <w:abstractNumId w:val="2"/>
  </w:num>
  <w:num w:numId="24">
    <w:abstractNumId w:val="8"/>
  </w:num>
  <w:num w:numId="25">
    <w:abstractNumId w:val="13"/>
  </w:num>
  <w:num w:numId="26">
    <w:abstractNumId w:val="14"/>
  </w:num>
  <w:num w:numId="27">
    <w:abstractNumId w:val="19"/>
  </w:num>
  <w:num w:numId="28">
    <w:abstractNumId w:val="15"/>
  </w:num>
  <w:num w:numId="29">
    <w:abstractNumId w:val="21"/>
  </w:num>
  <w:num w:numId="30">
    <w:abstractNumId w:val="26"/>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forms"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zYWNmYWFkMzIwYjMzN2NjMGRmZDMxNjAzMTNkODAifQ=="/>
  </w:docVars>
  <w:rsids>
    <w:rsidRoot w:val="101465A5"/>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1CFC"/>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38D8"/>
    <w:rsid w:val="001F4816"/>
    <w:rsid w:val="001F69B4"/>
    <w:rsid w:val="001F77C7"/>
    <w:rsid w:val="00200183"/>
    <w:rsid w:val="00200333"/>
    <w:rsid w:val="0020107D"/>
    <w:rsid w:val="00202AA4"/>
    <w:rsid w:val="002031F7"/>
    <w:rsid w:val="002040E6"/>
    <w:rsid w:val="0020527B"/>
    <w:rsid w:val="00205F2C"/>
    <w:rsid w:val="00205FE7"/>
    <w:rsid w:val="00210B15"/>
    <w:rsid w:val="002142EA"/>
    <w:rsid w:val="00215ADD"/>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5A4"/>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536C"/>
    <w:rsid w:val="003872FC"/>
    <w:rsid w:val="00387ADC"/>
    <w:rsid w:val="00390020"/>
    <w:rsid w:val="003903D6"/>
    <w:rsid w:val="00390EE6"/>
    <w:rsid w:val="0039118F"/>
    <w:rsid w:val="00392AD7"/>
    <w:rsid w:val="003938D9"/>
    <w:rsid w:val="00394376"/>
    <w:rsid w:val="003943FF"/>
    <w:rsid w:val="003974EB"/>
    <w:rsid w:val="00397CC5"/>
    <w:rsid w:val="003A1582"/>
    <w:rsid w:val="003A3D9C"/>
    <w:rsid w:val="003A4077"/>
    <w:rsid w:val="003A4AA7"/>
    <w:rsid w:val="003B09AD"/>
    <w:rsid w:val="003B1F18"/>
    <w:rsid w:val="003B5BF0"/>
    <w:rsid w:val="003B60BF"/>
    <w:rsid w:val="003B6BE3"/>
    <w:rsid w:val="003C010C"/>
    <w:rsid w:val="003C0A6C"/>
    <w:rsid w:val="003C14F8"/>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4D0C"/>
    <w:rsid w:val="004C7556"/>
    <w:rsid w:val="004C7E8B"/>
    <w:rsid w:val="004C7E9D"/>
    <w:rsid w:val="004C7F67"/>
    <w:rsid w:val="004D076D"/>
    <w:rsid w:val="004D0EF1"/>
    <w:rsid w:val="004D2253"/>
    <w:rsid w:val="004D4406"/>
    <w:rsid w:val="004D7C42"/>
    <w:rsid w:val="004E0465"/>
    <w:rsid w:val="004E127B"/>
    <w:rsid w:val="004E1C0A"/>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2308"/>
    <w:rsid w:val="0056487B"/>
    <w:rsid w:val="00564FB9"/>
    <w:rsid w:val="00573D9E"/>
    <w:rsid w:val="005801E3"/>
    <w:rsid w:val="00581802"/>
    <w:rsid w:val="005836A8"/>
    <w:rsid w:val="0058409C"/>
    <w:rsid w:val="00584262"/>
    <w:rsid w:val="00586630"/>
    <w:rsid w:val="00587ADD"/>
    <w:rsid w:val="00593A49"/>
    <w:rsid w:val="00596160"/>
    <w:rsid w:val="005966E2"/>
    <w:rsid w:val="00597007"/>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4250"/>
    <w:rsid w:val="005E6812"/>
    <w:rsid w:val="005E7881"/>
    <w:rsid w:val="005E78E0"/>
    <w:rsid w:val="005F0D9C"/>
    <w:rsid w:val="005F284E"/>
    <w:rsid w:val="006015CE"/>
    <w:rsid w:val="00604784"/>
    <w:rsid w:val="006051AC"/>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4D2B"/>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AE"/>
    <w:rsid w:val="009245F5"/>
    <w:rsid w:val="009249EC"/>
    <w:rsid w:val="009273B3"/>
    <w:rsid w:val="009305B5"/>
    <w:rsid w:val="009378DD"/>
    <w:rsid w:val="009429D5"/>
    <w:rsid w:val="00942BF1"/>
    <w:rsid w:val="00945180"/>
    <w:rsid w:val="00945428"/>
    <w:rsid w:val="0094607B"/>
    <w:rsid w:val="00953604"/>
    <w:rsid w:val="0095496B"/>
    <w:rsid w:val="00960F1E"/>
    <w:rsid w:val="009610DC"/>
    <w:rsid w:val="00961490"/>
    <w:rsid w:val="0096381A"/>
    <w:rsid w:val="00965E04"/>
    <w:rsid w:val="009674AD"/>
    <w:rsid w:val="00970CDC"/>
    <w:rsid w:val="00975727"/>
    <w:rsid w:val="00977010"/>
    <w:rsid w:val="00977D02"/>
    <w:rsid w:val="00977FF9"/>
    <w:rsid w:val="009809BB"/>
    <w:rsid w:val="0098364B"/>
    <w:rsid w:val="009911AF"/>
    <w:rsid w:val="00991875"/>
    <w:rsid w:val="00991F92"/>
    <w:rsid w:val="00992985"/>
    <w:rsid w:val="00993889"/>
    <w:rsid w:val="0099551B"/>
    <w:rsid w:val="00996BD2"/>
    <w:rsid w:val="00997BF1"/>
    <w:rsid w:val="009A089C"/>
    <w:rsid w:val="009A118E"/>
    <w:rsid w:val="009A1488"/>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47FA"/>
    <w:rsid w:val="009D4C5B"/>
    <w:rsid w:val="009D50D2"/>
    <w:rsid w:val="009D6BCA"/>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18F8"/>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A052C"/>
    <w:rsid w:val="00AA1E45"/>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4118"/>
    <w:rsid w:val="00D77031"/>
    <w:rsid w:val="00D84941"/>
    <w:rsid w:val="00D84FA1"/>
    <w:rsid w:val="00D851F0"/>
    <w:rsid w:val="00D86DB7"/>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36D2D"/>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E69"/>
    <w:rsid w:val="00EB1F43"/>
    <w:rsid w:val="00EB2086"/>
    <w:rsid w:val="00EB31ED"/>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28F5180"/>
    <w:rsid w:val="05B80B0C"/>
    <w:rsid w:val="08BA5280"/>
    <w:rsid w:val="09146881"/>
    <w:rsid w:val="0F934510"/>
    <w:rsid w:val="101465A5"/>
    <w:rsid w:val="151F4AD1"/>
    <w:rsid w:val="169F4223"/>
    <w:rsid w:val="1A831D0B"/>
    <w:rsid w:val="1B602F91"/>
    <w:rsid w:val="229515DE"/>
    <w:rsid w:val="23F721AE"/>
    <w:rsid w:val="25DC00E0"/>
    <w:rsid w:val="2A3A59CD"/>
    <w:rsid w:val="30E235A7"/>
    <w:rsid w:val="3456387D"/>
    <w:rsid w:val="358A3CD2"/>
    <w:rsid w:val="388E0D38"/>
    <w:rsid w:val="503F3A55"/>
    <w:rsid w:val="56EA7AEB"/>
    <w:rsid w:val="57DD38B4"/>
    <w:rsid w:val="5B1D29F2"/>
    <w:rsid w:val="5D923F39"/>
    <w:rsid w:val="62254BA8"/>
    <w:rsid w:val="6C0957AB"/>
    <w:rsid w:val="75154B88"/>
    <w:rsid w:val="7DE87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11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48"/>
    <w:qFormat/>
    <w:uiPriority w:val="0"/>
    <w:pPr>
      <w:keepNext/>
      <w:keepLines/>
      <w:spacing w:before="260" w:after="260" w:line="416" w:lineRule="auto"/>
      <w:outlineLvl w:val="2"/>
    </w:pPr>
    <w:rPr>
      <w:b/>
      <w:bCs/>
      <w:sz w:val="32"/>
      <w:szCs w:val="32"/>
    </w:rPr>
  </w:style>
  <w:style w:type="paragraph" w:styleId="5">
    <w:name w:val="heading 4"/>
    <w:basedOn w:val="1"/>
    <w:next w:val="1"/>
    <w:link w:val="194"/>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6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186"/>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51"/>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22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113"/>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174"/>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3"/>
    <w:unhideWhenUsed/>
    <w:qFormat/>
    <w:uiPriority w:val="99"/>
    <w:rPr>
      <w:sz w:val="18"/>
      <w:szCs w:val="18"/>
    </w:rPr>
  </w:style>
  <w:style w:type="paragraph" w:styleId="17">
    <w:name w:val="footer"/>
    <w:basedOn w:val="1"/>
    <w:link w:val="185"/>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217"/>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126"/>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17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5"/>
      <w:vertAlign w:val="superscript"/>
    </w:rPr>
  </w:style>
  <w:style w:type="paragraph" w:customStyle="1" w:styleId="3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35">
    <w:name w:val="标准文件_一致程度"/>
    <w:basedOn w:val="1"/>
    <w:qFormat/>
    <w:uiPriority w:val="0"/>
    <w:pPr>
      <w:spacing w:line="440" w:lineRule="exact"/>
      <w:jc w:val="center"/>
    </w:pPr>
    <w:rPr>
      <w:sz w:val="28"/>
    </w:rPr>
  </w:style>
  <w:style w:type="paragraph" w:customStyle="1" w:styleId="36">
    <w:name w:val="标准文件_正文英文表标题"/>
    <w:next w:val="37"/>
    <w:qFormat/>
    <w:uiPriority w:val="0"/>
    <w:pPr>
      <w:numPr>
        <w:ilvl w:val="0"/>
        <w:numId w:val="1"/>
      </w:numPr>
      <w:jc w:val="center"/>
    </w:pPr>
    <w:rPr>
      <w:rFonts w:ascii="黑体" w:hAnsi="Times New Roman" w:eastAsia="黑体" w:cs="Times New Roman"/>
      <w:sz w:val="21"/>
      <w:lang w:val="en-US" w:eastAsia="zh-CN" w:bidi="ar-SA"/>
    </w:rPr>
  </w:style>
  <w:style w:type="paragraph" w:customStyle="1" w:styleId="37">
    <w:name w:val="标准文件_段"/>
    <w:link w:val="83"/>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
    <w:name w:val="标准文件_页眉偶数页"/>
    <w:basedOn w:val="39"/>
    <w:next w:val="1"/>
    <w:qFormat/>
    <w:uiPriority w:val="0"/>
    <w:pPr>
      <w:tabs>
        <w:tab w:val="center" w:pos="4154"/>
        <w:tab w:val="right" w:pos="8306"/>
      </w:tabs>
      <w:jc w:val="left"/>
    </w:pPr>
  </w:style>
  <w:style w:type="paragraph" w:customStyle="1" w:styleId="39">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character" w:styleId="40">
    <w:name w:val="Placeholder Text"/>
    <w:basedOn w:val="28"/>
    <w:semiHidden/>
    <w:qFormat/>
    <w:uiPriority w:val="99"/>
    <w:rPr>
      <w:color w:val="808080"/>
    </w:rPr>
  </w:style>
  <w:style w:type="paragraph" w:customStyle="1" w:styleId="41">
    <w:name w:val="标准_四级无标题"/>
    <w:basedOn w:val="42"/>
    <w:next w:val="37"/>
    <w:qFormat/>
    <w:uiPriority w:val="0"/>
    <w:rPr>
      <w:rFonts w:eastAsia="宋体"/>
    </w:rPr>
  </w:style>
  <w:style w:type="paragraph" w:customStyle="1" w:styleId="42">
    <w:name w:val="标准文件_四级条标题"/>
    <w:next w:val="37"/>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43">
    <w:name w:val="Balloon Text Char"/>
    <w:link w:val="16"/>
    <w:semiHidden/>
    <w:qFormat/>
    <w:uiPriority w:val="99"/>
    <w:rPr>
      <w:sz w:val="18"/>
      <w:szCs w:val="18"/>
    </w:rPr>
  </w:style>
  <w:style w:type="paragraph" w:customStyle="1" w:styleId="44">
    <w:name w:val="标准文件_附录三级无标题"/>
    <w:basedOn w:val="45"/>
    <w:qFormat/>
    <w:uiPriority w:val="0"/>
    <w:pPr>
      <w:spacing w:before="0" w:beforeLines="0" w:after="0" w:afterLines="0" w:line="276" w:lineRule="auto"/>
      <w:outlineLvl w:val="9"/>
    </w:pPr>
    <w:rPr>
      <w:rFonts w:ascii="宋体" w:eastAsia="宋体"/>
    </w:rPr>
  </w:style>
  <w:style w:type="paragraph" w:customStyle="1" w:styleId="45">
    <w:name w:val="标准文件_附录三级条标题"/>
    <w:next w:val="37"/>
    <w:qFormat/>
    <w:uiPriority w:val="0"/>
    <w:pPr>
      <w:widowControl w:val="0"/>
      <w:numPr>
        <w:ilvl w:val="3"/>
        <w:numId w:val="3"/>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46">
    <w:name w:val="标准文件_引言五级条标题"/>
    <w:basedOn w:val="37"/>
    <w:next w:val="37"/>
    <w:qFormat/>
    <w:uiPriority w:val="0"/>
    <w:pPr>
      <w:numPr>
        <w:ilvl w:val="5"/>
        <w:numId w:val="4"/>
      </w:numPr>
      <w:spacing w:before="50" w:beforeLines="50" w:after="50" w:afterLines="50"/>
      <w:ind w:firstLineChars="0"/>
    </w:pPr>
    <w:rPr>
      <w:rFonts w:ascii="黑体" w:eastAsia="黑体"/>
    </w:rPr>
  </w:style>
  <w:style w:type="paragraph" w:customStyle="1" w:styleId="47">
    <w:name w:val="标准文件_数字编号列项"/>
    <w:qFormat/>
    <w:uiPriority w:val="0"/>
    <w:pPr>
      <w:numPr>
        <w:ilvl w:val="0"/>
        <w:numId w:val="5"/>
      </w:numPr>
      <w:jc w:val="both"/>
    </w:pPr>
    <w:rPr>
      <w:rFonts w:ascii="宋体" w:hAnsi="宋体" w:eastAsia="宋体" w:cs="Times New Roman"/>
      <w:sz w:val="21"/>
      <w:lang w:val="en-US" w:eastAsia="zh-CN" w:bidi="ar-SA"/>
    </w:rPr>
  </w:style>
  <w:style w:type="character" w:customStyle="1" w:styleId="48">
    <w:name w:val="标准文件_图表脚注内容"/>
    <w:qFormat/>
    <w:uiPriority w:val="0"/>
    <w:rPr>
      <w:rFonts w:ascii="宋体" w:hAnsi="宋体" w:eastAsia="宋体" w:cs="Times New Roman"/>
      <w:spacing w:val="0"/>
      <w:sz w:val="18"/>
      <w:vertAlign w:val="superscript"/>
    </w:rPr>
  </w:style>
  <w:style w:type="paragraph" w:customStyle="1" w:styleId="49">
    <w:name w:val="标准文件_引言五级无标题"/>
    <w:basedOn w:val="46"/>
    <w:next w:val="37"/>
    <w:qFormat/>
    <w:uiPriority w:val="0"/>
    <w:pPr>
      <w:spacing w:before="0" w:beforeLines="0" w:after="0" w:afterLines="0" w:line="276" w:lineRule="auto"/>
    </w:pPr>
    <w:rPr>
      <w:rFonts w:ascii="宋体" w:eastAsia="宋体"/>
    </w:rPr>
  </w:style>
  <w:style w:type="paragraph" w:customStyle="1" w:styleId="50">
    <w:name w:val="标准文件_图表脚注"/>
    <w:basedOn w:val="1"/>
    <w:next w:val="37"/>
    <w:qFormat/>
    <w:uiPriority w:val="0"/>
    <w:pPr>
      <w:numPr>
        <w:ilvl w:val="0"/>
        <w:numId w:val="6"/>
      </w:numPr>
      <w:spacing w:line="240" w:lineRule="auto"/>
      <w:jc w:val="left"/>
    </w:pPr>
    <w:rPr>
      <w:rFonts w:ascii="宋体" w:hAnsi="宋体"/>
      <w:sz w:val="18"/>
    </w:rPr>
  </w:style>
  <w:style w:type="character" w:customStyle="1" w:styleId="51">
    <w:name w:val="Heading 7 Char"/>
    <w:link w:val="8"/>
    <w:qFormat/>
    <w:uiPriority w:val="0"/>
    <w:rPr>
      <w:rFonts w:ascii="Times New Roman" w:hAnsi="Times New Roman" w:eastAsia="宋体" w:cs="Times New Roman"/>
      <w:b/>
      <w:bCs/>
      <w:sz w:val="24"/>
      <w:szCs w:val="24"/>
    </w:rPr>
  </w:style>
  <w:style w:type="paragraph" w:customStyle="1" w:styleId="52">
    <w:name w:val="标准文件_一级项2"/>
    <w:basedOn w:val="37"/>
    <w:qFormat/>
    <w:uiPriority w:val="0"/>
    <w:pPr>
      <w:numPr>
        <w:ilvl w:val="0"/>
        <w:numId w:val="7"/>
      </w:numPr>
      <w:spacing w:line="300" w:lineRule="exact"/>
      <w:ind w:left="1271" w:hanging="420" w:firstLineChars="0"/>
    </w:pPr>
    <w:rPr>
      <w:rFonts w:ascii="Times New Roman"/>
    </w:rPr>
  </w:style>
  <w:style w:type="paragraph" w:customStyle="1" w:styleId="53">
    <w:name w:val="附录性质"/>
    <w:basedOn w:val="1"/>
    <w:qFormat/>
    <w:uiPriority w:val="0"/>
    <w:pPr>
      <w:widowControl/>
      <w:adjustRightInd/>
      <w:jc w:val="center"/>
    </w:pPr>
    <w:rPr>
      <w:rFonts w:ascii="黑体" w:eastAsia="黑体"/>
    </w:rPr>
  </w:style>
  <w:style w:type="paragraph" w:customStyle="1" w:styleId="54">
    <w:name w:val="标准文件_公式后的破折号"/>
    <w:basedOn w:val="37"/>
    <w:next w:val="37"/>
    <w:qFormat/>
    <w:uiPriority w:val="0"/>
    <w:pPr>
      <w:ind w:left="488" w:leftChars="200" w:hanging="289" w:hangingChars="290"/>
    </w:pPr>
  </w:style>
  <w:style w:type="paragraph" w:customStyle="1" w:styleId="55">
    <w:name w:val="标准文件_附录表标号"/>
    <w:basedOn w:val="37"/>
    <w:next w:val="37"/>
    <w:qFormat/>
    <w:uiPriority w:val="0"/>
    <w:pPr>
      <w:numPr>
        <w:ilvl w:val="0"/>
        <w:numId w:val="8"/>
      </w:numPr>
      <w:spacing w:line="14" w:lineRule="exact"/>
      <w:ind w:firstLine="0" w:firstLineChars="0"/>
      <w:jc w:val="center"/>
    </w:pPr>
    <w:rPr>
      <w:rFonts w:eastAsia="黑体"/>
      <w:vanish/>
      <w:sz w:val="2"/>
    </w:rPr>
  </w:style>
  <w:style w:type="paragraph" w:customStyle="1" w:styleId="56">
    <w:name w:val="其他发布部门"/>
    <w:basedOn w:val="57"/>
    <w:qFormat/>
    <w:uiPriority w:val="0"/>
    <w:pPr>
      <w:framePr w:wrap="around"/>
      <w:spacing w:line="0" w:lineRule="atLeast"/>
    </w:pPr>
    <w:rPr>
      <w:rFonts w:ascii="黑体" w:eastAsia="黑体"/>
      <w:b w:val="0"/>
    </w:rPr>
  </w:style>
  <w:style w:type="paragraph" w:customStyle="1" w:styleId="57">
    <w:name w:val="发布部门"/>
    <w:next w:val="37"/>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58">
    <w:name w:val="标准文件_索引项"/>
    <w:basedOn w:val="37"/>
    <w:next w:val="37"/>
    <w:qFormat/>
    <w:uiPriority w:val="0"/>
    <w:pPr>
      <w:tabs>
        <w:tab w:val="right" w:leader="dot" w:pos="9356"/>
      </w:tabs>
      <w:ind w:left="210" w:hanging="210" w:firstLineChars="0"/>
      <w:jc w:val="left"/>
    </w:pPr>
  </w:style>
  <w:style w:type="paragraph" w:customStyle="1" w:styleId="59">
    <w:name w:val="其他发布日期"/>
    <w:basedOn w:val="60"/>
    <w:qFormat/>
    <w:uiPriority w:val="0"/>
    <w:pPr>
      <w:framePr w:w="3997" w:h="471" w:hRule="exact" w:hSpace="0" w:vSpace="181" w:wrap="around" w:vAnchor="page" w:hAnchor="page" w:x="1419" w:y="14097"/>
    </w:pPr>
  </w:style>
  <w:style w:type="paragraph" w:customStyle="1" w:styleId="6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61">
    <w:name w:val="标准文件_一级无标题"/>
    <w:basedOn w:val="62"/>
    <w:qFormat/>
    <w:uiPriority w:val="0"/>
    <w:pPr>
      <w:spacing w:before="0" w:beforeLines="0" w:after="0" w:afterLines="0"/>
      <w:outlineLvl w:val="9"/>
    </w:pPr>
    <w:rPr>
      <w:rFonts w:ascii="宋体" w:eastAsia="宋体"/>
    </w:rPr>
  </w:style>
  <w:style w:type="paragraph" w:customStyle="1" w:styleId="62">
    <w:name w:val="标准文件_一级条标题"/>
    <w:basedOn w:val="63"/>
    <w:next w:val="37"/>
    <w:qFormat/>
    <w:uiPriority w:val="0"/>
    <w:pPr>
      <w:numPr>
        <w:ilvl w:val="2"/>
      </w:numPr>
      <w:spacing w:before="50" w:beforeLines="50" w:after="50" w:afterLines="50"/>
      <w:outlineLvl w:val="1"/>
    </w:pPr>
  </w:style>
  <w:style w:type="paragraph" w:customStyle="1" w:styleId="63">
    <w:name w:val="标准文件_章标题"/>
    <w:next w:val="37"/>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character" w:customStyle="1" w:styleId="64">
    <w:name w:val="标准文件_发布"/>
    <w:qFormat/>
    <w:uiPriority w:val="0"/>
    <w:rPr>
      <w:rFonts w:ascii="黑体" w:eastAsia="黑体"/>
      <w:spacing w:val="0"/>
      <w:w w:val="100"/>
      <w:position w:val="3"/>
      <w:sz w:val="28"/>
    </w:rPr>
  </w:style>
  <w:style w:type="paragraph" w:customStyle="1" w:styleId="65">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66">
    <w:name w:val="附录一级无标题条"/>
    <w:basedOn w:val="67"/>
    <w:next w:val="37"/>
    <w:qFormat/>
    <w:uiPriority w:val="0"/>
    <w:pPr>
      <w:autoSpaceDN w:val="0"/>
      <w:outlineLvl w:val="2"/>
    </w:pPr>
    <w:rPr>
      <w:rFonts w:ascii="宋体" w:hAnsi="宋体" w:eastAsia="宋体"/>
    </w:rPr>
  </w:style>
  <w:style w:type="paragraph" w:customStyle="1" w:styleId="67">
    <w:name w:val="标准文件_附录章标题"/>
    <w:next w:val="37"/>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6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69">
    <w:name w:val="标准文件_引言四级无标题"/>
    <w:basedOn w:val="70"/>
    <w:next w:val="37"/>
    <w:qFormat/>
    <w:uiPriority w:val="0"/>
    <w:pPr>
      <w:spacing w:before="0" w:beforeLines="0" w:after="0" w:afterLines="0" w:line="276" w:lineRule="auto"/>
    </w:pPr>
    <w:rPr>
      <w:rFonts w:ascii="宋体" w:eastAsia="宋体"/>
    </w:rPr>
  </w:style>
  <w:style w:type="paragraph" w:customStyle="1" w:styleId="70">
    <w:name w:val="标准文件_引言四级条标题"/>
    <w:basedOn w:val="37"/>
    <w:next w:val="37"/>
    <w:qFormat/>
    <w:uiPriority w:val="0"/>
    <w:pPr>
      <w:numPr>
        <w:ilvl w:val="4"/>
        <w:numId w:val="4"/>
      </w:numPr>
      <w:spacing w:before="50" w:beforeLines="50" w:after="50" w:afterLines="50"/>
      <w:ind w:firstLineChars="0"/>
    </w:pPr>
    <w:rPr>
      <w:rFonts w:ascii="黑体" w:eastAsia="黑体"/>
    </w:rPr>
  </w:style>
  <w:style w:type="paragraph" w:customStyle="1" w:styleId="71">
    <w:name w:val="标准文件_三级条标题"/>
    <w:basedOn w:val="72"/>
    <w:next w:val="37"/>
    <w:qFormat/>
    <w:uiPriority w:val="0"/>
    <w:pPr>
      <w:widowControl/>
      <w:numPr>
        <w:ilvl w:val="4"/>
      </w:numPr>
      <w:outlineLvl w:val="3"/>
    </w:pPr>
  </w:style>
  <w:style w:type="paragraph" w:customStyle="1" w:styleId="72">
    <w:name w:val="标准文件_二级条标题"/>
    <w:next w:val="37"/>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3">
    <w:name w:val="标准文件_破折号列项（二级）"/>
    <w:basedOn w:val="74"/>
    <w:qFormat/>
    <w:uiPriority w:val="0"/>
    <w:pPr>
      <w:numPr>
        <w:numId w:val="9"/>
      </w:numPr>
      <w:ind w:left="0" w:firstLine="200"/>
    </w:pPr>
  </w:style>
  <w:style w:type="paragraph" w:customStyle="1" w:styleId="74">
    <w:name w:val="标准文件_破折号列项"/>
    <w:qFormat/>
    <w:uiPriority w:val="0"/>
    <w:pPr>
      <w:numPr>
        <w:ilvl w:val="0"/>
        <w:numId w:val="10"/>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75">
    <w:name w:val="标准文件_大写罗马数字编号列项"/>
    <w:basedOn w:val="37"/>
    <w:qFormat/>
    <w:uiPriority w:val="0"/>
    <w:pPr>
      <w:numPr>
        <w:ilvl w:val="0"/>
        <w:numId w:val="11"/>
      </w:numPr>
      <w:ind w:firstLine="0" w:firstLineChars="0"/>
    </w:pPr>
    <w:rPr>
      <w:rFonts w:ascii="Times New Roman" w:cs="Arial"/>
      <w:szCs w:val="28"/>
    </w:rPr>
  </w:style>
  <w:style w:type="character" w:customStyle="1" w:styleId="76">
    <w:name w:val="标准文件_来源"/>
    <w:basedOn w:val="28"/>
    <w:qFormat/>
    <w:uiPriority w:val="1"/>
    <w:rPr>
      <w:rFonts w:eastAsia="宋体"/>
      <w:sz w:val="21"/>
    </w:rPr>
  </w:style>
  <w:style w:type="paragraph" w:customStyle="1" w:styleId="77">
    <w:name w:val="标准文件_术语条二"/>
    <w:basedOn w:val="78"/>
    <w:next w:val="37"/>
    <w:qFormat/>
    <w:uiPriority w:val="0"/>
    <w:rPr>
      <w:rFonts w:ascii="黑体" w:hAnsi="黑体" w:eastAsia="黑体" w:cs="黑体"/>
    </w:rPr>
  </w:style>
  <w:style w:type="paragraph" w:customStyle="1" w:styleId="78">
    <w:name w:val="标准文件_二级无标题"/>
    <w:basedOn w:val="72"/>
    <w:qFormat/>
    <w:uiPriority w:val="0"/>
    <w:pPr>
      <w:spacing w:before="0" w:beforeLines="0" w:after="0" w:afterLines="0"/>
      <w:outlineLvl w:val="9"/>
    </w:pPr>
    <w:rPr>
      <w:rFonts w:ascii="宋体" w:eastAsia="宋体"/>
    </w:rPr>
  </w:style>
  <w:style w:type="paragraph" w:customStyle="1" w:styleId="79">
    <w:name w:val="标准文件_封面实施日期"/>
    <w:basedOn w:val="1"/>
    <w:qFormat/>
    <w:uiPriority w:val="0"/>
    <w:pPr>
      <w:spacing w:line="310" w:lineRule="exact"/>
      <w:jc w:val="right"/>
    </w:pPr>
    <w:rPr>
      <w:rFonts w:ascii="黑体" w:eastAsia="黑体"/>
      <w:sz w:val="28"/>
    </w:rPr>
  </w:style>
  <w:style w:type="paragraph" w:customStyle="1" w:styleId="80">
    <w:name w:val="标准文件_方框数字列项"/>
    <w:basedOn w:val="37"/>
    <w:qFormat/>
    <w:uiPriority w:val="0"/>
    <w:pPr>
      <w:numPr>
        <w:ilvl w:val="0"/>
        <w:numId w:val="12"/>
      </w:numPr>
      <w:ind w:firstLine="0" w:firstLineChars="0"/>
    </w:pPr>
  </w:style>
  <w:style w:type="paragraph" w:customStyle="1" w:styleId="81">
    <w:name w:val="标准文件_二级项"/>
    <w:qFormat/>
    <w:uiPriority w:val="0"/>
    <w:rPr>
      <w:rFonts w:ascii="宋体" w:hAnsi="Times New Roman" w:eastAsia="宋体" w:cs="Times New Roman"/>
      <w:sz w:val="21"/>
      <w:lang w:val="en-US" w:eastAsia="zh-CN" w:bidi="ar-SA"/>
    </w:rPr>
  </w:style>
  <w:style w:type="character" w:customStyle="1" w:styleId="82">
    <w:name w:val="标准文件_示例X后 字符"/>
    <w:basedOn w:val="83"/>
    <w:link w:val="84"/>
    <w:qFormat/>
    <w:uiPriority w:val="0"/>
    <w:rPr>
      <w:rFonts w:ascii="宋体" w:hAnsi="Times New Roman"/>
      <w:sz w:val="18"/>
    </w:rPr>
  </w:style>
  <w:style w:type="character" w:customStyle="1" w:styleId="83">
    <w:name w:val="标准文件_段 Char"/>
    <w:link w:val="37"/>
    <w:qFormat/>
    <w:uiPriority w:val="0"/>
    <w:rPr>
      <w:rFonts w:ascii="宋体" w:hAnsi="Times New Roman"/>
      <w:sz w:val="21"/>
    </w:rPr>
  </w:style>
  <w:style w:type="paragraph" w:customStyle="1" w:styleId="84">
    <w:name w:val="标准文件_示例X后"/>
    <w:basedOn w:val="37"/>
    <w:link w:val="82"/>
    <w:qFormat/>
    <w:uiPriority w:val="0"/>
    <w:pPr>
      <w:ind w:left="1049" w:firstLine="0" w:firstLineChars="0"/>
    </w:pPr>
    <w:rPr>
      <w:sz w:val="18"/>
    </w:rPr>
  </w:style>
  <w:style w:type="paragraph" w:customStyle="1" w:styleId="85">
    <w:name w:val="标准文件_附录二级条标题"/>
    <w:basedOn w:val="86"/>
    <w:next w:val="37"/>
    <w:qFormat/>
    <w:uiPriority w:val="0"/>
    <w:pPr>
      <w:widowControl/>
      <w:numPr>
        <w:ilvl w:val="2"/>
      </w:numPr>
      <w:wordWrap w:val="0"/>
      <w:overflowPunct w:val="0"/>
      <w:autoSpaceDE w:val="0"/>
      <w:autoSpaceDN w:val="0"/>
      <w:textAlignment w:val="baseline"/>
      <w:outlineLvl w:val="3"/>
    </w:pPr>
  </w:style>
  <w:style w:type="paragraph" w:customStyle="1" w:styleId="86">
    <w:name w:val="标准文件_附录一级条标题"/>
    <w:next w:val="37"/>
    <w:qFormat/>
    <w:uiPriority w:val="0"/>
    <w:pPr>
      <w:widowControl w:val="0"/>
      <w:numPr>
        <w:ilvl w:val="1"/>
        <w:numId w:val="3"/>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7">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88">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89">
    <w:name w:val="标准文件_附录前"/>
    <w:next w:val="37"/>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90">
    <w:name w:val="标准文件_注后"/>
    <w:basedOn w:val="37"/>
    <w:qFormat/>
    <w:uiPriority w:val="0"/>
    <w:pPr>
      <w:ind w:left="811" w:firstLine="0" w:firstLineChars="0"/>
    </w:pPr>
    <w:rPr>
      <w:sz w:val="18"/>
    </w:rPr>
  </w:style>
  <w:style w:type="paragraph" w:customStyle="1" w:styleId="91">
    <w:name w:val="标准文件_提示"/>
    <w:basedOn w:val="37"/>
    <w:next w:val="37"/>
    <w:qFormat/>
    <w:uiPriority w:val="0"/>
    <w:pPr>
      <w:ind w:firstLine="420"/>
    </w:pPr>
    <w:rPr>
      <w:rFonts w:ascii="黑体" w:eastAsia="黑体"/>
    </w:rPr>
  </w:style>
  <w:style w:type="paragraph" w:customStyle="1" w:styleId="92">
    <w:name w:val="标准文件_索引字母"/>
    <w:next w:val="37"/>
    <w:qFormat/>
    <w:uiPriority w:val="0"/>
    <w:pPr>
      <w:jc w:val="center"/>
    </w:pPr>
    <w:rPr>
      <w:rFonts w:ascii="宋体" w:hAnsi="宋体" w:eastAsia="Times New Roman" w:cs="Times New Roman"/>
      <w:b/>
      <w:kern w:val="2"/>
      <w:sz w:val="21"/>
      <w:lang w:val="en-US" w:eastAsia="zh-CN" w:bidi="ar-SA"/>
    </w:rPr>
  </w:style>
  <w:style w:type="paragraph" w:customStyle="1" w:styleId="93">
    <w:name w:val="标准文件_参考文献条目"/>
    <w:qFormat/>
    <w:uiPriority w:val="0"/>
    <w:pPr>
      <w:numPr>
        <w:ilvl w:val="0"/>
        <w:numId w:val="13"/>
      </w:numPr>
    </w:pPr>
    <w:rPr>
      <w:rFonts w:ascii="宋体" w:hAnsi="Times New Roman" w:eastAsia="宋体" w:cs="Times New Roman"/>
      <w:lang w:val="en-US" w:eastAsia="zh-CN" w:bidi="ar-SA"/>
    </w:rPr>
  </w:style>
  <w:style w:type="paragraph" w:customStyle="1" w:styleId="94">
    <w:name w:val="标准文件_示例："/>
    <w:next w:val="95"/>
    <w:qFormat/>
    <w:uiPriority w:val="0"/>
    <w:pPr>
      <w:widowControl w:val="0"/>
      <w:numPr>
        <w:ilvl w:val="0"/>
        <w:numId w:val="14"/>
      </w:numPr>
      <w:jc w:val="both"/>
    </w:pPr>
    <w:rPr>
      <w:rFonts w:ascii="宋体" w:hAnsi="Times New Roman" w:eastAsia="宋体" w:cs="Times New Roman"/>
      <w:sz w:val="18"/>
      <w:szCs w:val="18"/>
      <w:lang w:val="en-US" w:eastAsia="zh-CN" w:bidi="ar-SA"/>
    </w:rPr>
  </w:style>
  <w:style w:type="paragraph" w:customStyle="1" w:styleId="95">
    <w:name w:val="标准文件_示例内容"/>
    <w:basedOn w:val="37"/>
    <w:qFormat/>
    <w:uiPriority w:val="0"/>
    <w:pPr>
      <w:ind w:firstLine="420"/>
    </w:pPr>
    <w:rPr>
      <w:sz w:val="18"/>
    </w:rPr>
  </w:style>
  <w:style w:type="paragraph" w:customStyle="1" w:styleId="96">
    <w:name w:val="标准文件_三级项"/>
    <w:basedOn w:val="1"/>
    <w:qFormat/>
    <w:uiPriority w:val="0"/>
    <w:pPr>
      <w:numPr>
        <w:ilvl w:val="2"/>
        <w:numId w:val="15"/>
      </w:numPr>
      <w:spacing w:line="300" w:lineRule="exact"/>
    </w:pPr>
    <w:rPr>
      <w:rFonts w:ascii="Times New Roman" w:hAnsi="Times New Roman"/>
    </w:rPr>
  </w:style>
  <w:style w:type="paragraph" w:customStyle="1" w:styleId="97">
    <w:name w:val="标准文件_标准部门"/>
    <w:basedOn w:val="1"/>
    <w:qFormat/>
    <w:uiPriority w:val="0"/>
    <w:pPr>
      <w:jc w:val="center"/>
    </w:pPr>
    <w:rPr>
      <w:rFonts w:ascii="黑体" w:eastAsia="黑体"/>
      <w:kern w:val="0"/>
      <w:sz w:val="44"/>
    </w:rPr>
  </w:style>
  <w:style w:type="paragraph" w:customStyle="1" w:styleId="98">
    <w:name w:val="标准文件_注："/>
    <w:next w:val="37"/>
    <w:qFormat/>
    <w:uiPriority w:val="0"/>
    <w:pPr>
      <w:widowControl w:val="0"/>
      <w:numPr>
        <w:ilvl w:val="0"/>
        <w:numId w:val="16"/>
      </w:numPr>
      <w:autoSpaceDE w:val="0"/>
      <w:autoSpaceDN w:val="0"/>
      <w:jc w:val="both"/>
    </w:pPr>
    <w:rPr>
      <w:rFonts w:ascii="宋体" w:hAnsi="Times New Roman" w:eastAsia="宋体" w:cs="Times New Roman"/>
      <w:sz w:val="18"/>
      <w:szCs w:val="18"/>
      <w:lang w:val="en-US" w:eastAsia="zh-CN" w:bidi="ar-SA"/>
    </w:rPr>
  </w:style>
  <w:style w:type="paragraph" w:customStyle="1" w:styleId="99">
    <w:name w:val="Defaul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00">
    <w:name w:val="标准文件_附录二级无标题"/>
    <w:basedOn w:val="85"/>
    <w:uiPriority w:val="0"/>
    <w:pPr>
      <w:spacing w:before="0" w:beforeLines="0" w:after="0" w:afterLines="0" w:line="276" w:lineRule="auto"/>
      <w:outlineLvl w:val="9"/>
    </w:pPr>
    <w:rPr>
      <w:rFonts w:ascii="宋体" w:eastAsia="宋体"/>
    </w:rPr>
  </w:style>
  <w:style w:type="paragraph" w:customStyle="1" w:styleId="101">
    <w:name w:val="标准文件_小写罗马数字编号列项"/>
    <w:basedOn w:val="37"/>
    <w:qFormat/>
    <w:uiPriority w:val="0"/>
    <w:pPr>
      <w:numPr>
        <w:ilvl w:val="0"/>
        <w:numId w:val="17"/>
      </w:numPr>
      <w:ind w:firstLine="0" w:firstLineChars="0"/>
    </w:pPr>
    <w:rPr>
      <w:rFonts w:cs="Arial"/>
      <w:szCs w:val="28"/>
    </w:rPr>
  </w:style>
  <w:style w:type="paragraph" w:customStyle="1" w:styleId="102">
    <w:name w:val="标准文件_替换文件编号"/>
    <w:basedOn w:val="103"/>
    <w:qFormat/>
    <w:uiPriority w:val="0"/>
    <w:pPr>
      <w:framePr w:wrap="around"/>
      <w:spacing w:before="57"/>
    </w:pPr>
    <w:rPr>
      <w:sz w:val="21"/>
    </w:rPr>
  </w:style>
  <w:style w:type="paragraph" w:customStyle="1" w:styleId="103">
    <w:name w:val="标准文件_文件编号"/>
    <w:basedOn w:val="37"/>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0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05">
    <w:name w:val="五级无标题条"/>
    <w:basedOn w:val="1"/>
    <w:qFormat/>
    <w:uiPriority w:val="0"/>
    <w:pPr>
      <w:numPr>
        <w:ilvl w:val="6"/>
        <w:numId w:val="18"/>
      </w:numPr>
      <w:adjustRightInd/>
    </w:pPr>
    <w:rPr>
      <w:szCs w:val="24"/>
    </w:rPr>
  </w:style>
  <w:style w:type="paragraph" w:customStyle="1" w:styleId="10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07">
    <w:name w:val="标准文件_附录公式"/>
    <w:basedOn w:val="108"/>
    <w:next w:val="10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108">
    <w:name w:val="标准文件_标准正文"/>
    <w:basedOn w:val="1"/>
    <w:next w:val="37"/>
    <w:qFormat/>
    <w:uiPriority w:val="0"/>
    <w:pPr>
      <w:snapToGrid w:val="0"/>
      <w:ind w:firstLine="200" w:firstLineChars="200"/>
    </w:pPr>
    <w:rPr>
      <w:kern w:val="0"/>
    </w:rPr>
  </w:style>
  <w:style w:type="paragraph" w:customStyle="1" w:styleId="109">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10">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11">
    <w:name w:val="标准文件_二级项2"/>
    <w:basedOn w:val="37"/>
    <w:qFormat/>
    <w:uiPriority w:val="0"/>
    <w:pPr>
      <w:numPr>
        <w:ilvl w:val="1"/>
        <w:numId w:val="15"/>
      </w:numPr>
      <w:ind w:left="1271" w:hanging="420" w:firstLineChars="0"/>
    </w:pPr>
  </w:style>
  <w:style w:type="character" w:customStyle="1" w:styleId="112">
    <w:name w:val="Heading 1 Char"/>
    <w:link w:val="2"/>
    <w:qFormat/>
    <w:uiPriority w:val="0"/>
    <w:rPr>
      <w:rFonts w:ascii="Times New Roman" w:hAnsi="Times New Roman" w:eastAsia="宋体" w:cs="Times New Roman"/>
      <w:b/>
      <w:bCs/>
      <w:kern w:val="44"/>
      <w:sz w:val="44"/>
      <w:szCs w:val="44"/>
    </w:rPr>
  </w:style>
  <w:style w:type="character" w:customStyle="1" w:styleId="113">
    <w:name w:val="Heading 9 Char"/>
    <w:link w:val="10"/>
    <w:qFormat/>
    <w:uiPriority w:val="0"/>
    <w:rPr>
      <w:rFonts w:ascii="Arial" w:hAnsi="Arial" w:eastAsia="黑体" w:cs="Times New Roman"/>
      <w:szCs w:val="21"/>
    </w:rPr>
  </w:style>
  <w:style w:type="paragraph" w:customStyle="1" w:styleId="114">
    <w:name w:val="标准文件_英文注："/>
    <w:basedOn w:val="1"/>
    <w:next w:val="37"/>
    <w:uiPriority w:val="0"/>
    <w:pPr>
      <w:numPr>
        <w:ilvl w:val="0"/>
        <w:numId w:val="19"/>
      </w:numPr>
      <w:tabs>
        <w:tab w:val="left" w:pos="420"/>
      </w:tabs>
      <w:autoSpaceDE w:val="0"/>
      <w:autoSpaceDN w:val="0"/>
      <w:spacing w:line="240" w:lineRule="auto"/>
    </w:pPr>
    <w:rPr>
      <w:rFonts w:ascii="宋体" w:hAnsi="宋体"/>
      <w:kern w:val="0"/>
      <w:sz w:val="18"/>
      <w:szCs w:val="20"/>
    </w:rPr>
  </w:style>
  <w:style w:type="paragraph" w:customStyle="1" w:styleId="115">
    <w:name w:val="列项·"/>
    <w:basedOn w:val="37"/>
    <w:qFormat/>
    <w:uiPriority w:val="0"/>
    <w:pPr>
      <w:tabs>
        <w:tab w:val="left" w:pos="840"/>
      </w:tabs>
    </w:pPr>
  </w:style>
  <w:style w:type="paragraph" w:customStyle="1" w:styleId="116">
    <w:name w:val="标准文件_英文图表脚注"/>
    <w:basedOn w:val="108"/>
    <w:qFormat/>
    <w:uiPriority w:val="0"/>
    <w:pPr>
      <w:widowControl/>
      <w:adjustRightInd/>
      <w:snapToGrid/>
      <w:spacing w:line="240" w:lineRule="auto"/>
      <w:ind w:left="79" w:hanging="79" w:hangingChars="80"/>
    </w:pPr>
    <w:rPr>
      <w:rFonts w:ascii="宋体" w:hAnsi="宋体"/>
    </w:rPr>
  </w:style>
  <w:style w:type="paragraph" w:customStyle="1" w:styleId="117">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18">
    <w:name w:val="标准文件_参考文献标题"/>
    <w:basedOn w:val="1"/>
    <w:next w:val="1"/>
    <w:qFormat/>
    <w:uiPriority w:val="0"/>
    <w:pPr>
      <w:widowControl/>
      <w:shd w:val="clear" w:color="FFFFFF" w:fill="FFFFFF"/>
      <w:adjustRightInd/>
      <w:spacing w:before="680" w:after="50" w:afterLines="50" w:line="240" w:lineRule="auto"/>
      <w:jc w:val="center"/>
      <w:outlineLvl w:val="0"/>
    </w:pPr>
    <w:rPr>
      <w:rFonts w:ascii="黑体" w:hAnsi="黑体" w:eastAsia="黑体"/>
      <w:kern w:val="0"/>
    </w:rPr>
  </w:style>
  <w:style w:type="paragraph" w:customStyle="1" w:styleId="119">
    <w:name w:val="目录 71"/>
    <w:basedOn w:val="120"/>
    <w:semiHidden/>
    <w:qFormat/>
    <w:uiPriority w:val="0"/>
    <w:pPr>
      <w:ind w:left="1260"/>
    </w:pPr>
  </w:style>
  <w:style w:type="paragraph" w:customStyle="1" w:styleId="120">
    <w:name w:val="目录 61"/>
    <w:basedOn w:val="1"/>
    <w:next w:val="1"/>
    <w:semiHidden/>
    <w:qFormat/>
    <w:uiPriority w:val="0"/>
    <w:pPr>
      <w:adjustRightInd/>
      <w:spacing w:line="240" w:lineRule="auto"/>
      <w:jc w:val="left"/>
    </w:pPr>
  </w:style>
  <w:style w:type="paragraph" w:customStyle="1" w:styleId="121">
    <w:name w:val="列项——"/>
    <w:qFormat/>
    <w:uiPriority w:val="0"/>
    <w:pPr>
      <w:widowControl w:val="0"/>
      <w:numPr>
        <w:ilvl w:val="0"/>
        <w:numId w:val="20"/>
      </w:numPr>
      <w:jc w:val="both"/>
    </w:pPr>
    <w:rPr>
      <w:rFonts w:ascii="宋体" w:hAnsi="宋体" w:eastAsia="宋体" w:cs="Times New Roman"/>
      <w:sz w:val="21"/>
      <w:lang w:val="en-US" w:eastAsia="zh-CN" w:bidi="ar-SA"/>
    </w:rPr>
  </w:style>
  <w:style w:type="paragraph" w:customStyle="1" w:styleId="122">
    <w:name w:val="实施日期"/>
    <w:basedOn w:val="60"/>
    <w:uiPriority w:val="0"/>
    <w:pPr>
      <w:framePr w:hSpace="0" w:wrap="around" w:xAlign="right"/>
      <w:jc w:val="right"/>
    </w:pPr>
  </w:style>
  <w:style w:type="paragraph" w:customStyle="1" w:styleId="123">
    <w:name w:val="标准文件_引言二级条标题"/>
    <w:basedOn w:val="37"/>
    <w:next w:val="37"/>
    <w:qFormat/>
    <w:uiPriority w:val="0"/>
    <w:pPr>
      <w:numPr>
        <w:ilvl w:val="2"/>
        <w:numId w:val="4"/>
      </w:numPr>
      <w:spacing w:before="50" w:beforeLines="50" w:after="50" w:afterLines="50"/>
      <w:ind w:firstLineChars="0"/>
    </w:pPr>
    <w:rPr>
      <w:rFonts w:ascii="黑体" w:eastAsia="黑体"/>
    </w:rPr>
  </w:style>
  <w:style w:type="paragraph" w:customStyle="1" w:styleId="124">
    <w:name w:val="标准文件_字母编号列项（一级）"/>
    <w:qFormat/>
    <w:uiPriority w:val="0"/>
    <w:pPr>
      <w:numPr>
        <w:ilvl w:val="0"/>
        <w:numId w:val="21"/>
      </w:numPr>
      <w:jc w:val="both"/>
    </w:pPr>
    <w:rPr>
      <w:rFonts w:ascii="宋体" w:hAnsi="Times New Roman" w:eastAsia="宋体" w:cs="Times New Roman"/>
      <w:sz w:val="21"/>
      <w:lang w:val="en-US" w:eastAsia="zh-CN" w:bidi="ar-SA"/>
    </w:rPr>
  </w:style>
  <w:style w:type="paragraph" w:customStyle="1" w:styleId="125">
    <w:name w:val="标准文件_引言三级条标题"/>
    <w:basedOn w:val="37"/>
    <w:next w:val="37"/>
    <w:qFormat/>
    <w:uiPriority w:val="0"/>
    <w:pPr>
      <w:numPr>
        <w:ilvl w:val="3"/>
        <w:numId w:val="4"/>
      </w:numPr>
      <w:spacing w:before="50" w:beforeLines="50" w:after="50" w:afterLines="50"/>
      <w:ind w:firstLineChars="0"/>
    </w:pPr>
    <w:rPr>
      <w:rFonts w:ascii="黑体" w:eastAsia="黑体"/>
    </w:rPr>
  </w:style>
  <w:style w:type="character" w:customStyle="1" w:styleId="126">
    <w:name w:val="Footnote Text Char"/>
    <w:link w:val="21"/>
    <w:semiHidden/>
    <w:qFormat/>
    <w:uiPriority w:val="0"/>
    <w:rPr>
      <w:rFonts w:ascii="宋体" w:hAnsi="Times New Roman" w:eastAsia="宋体" w:cs="Times New Roman"/>
      <w:sz w:val="18"/>
      <w:szCs w:val="18"/>
    </w:rPr>
  </w:style>
  <w:style w:type="paragraph" w:customStyle="1" w:styleId="127">
    <w:name w:val="标准文件_封面标准名称"/>
    <w:basedOn w:val="1"/>
    <w:qFormat/>
    <w:uiPriority w:val="0"/>
    <w:pPr>
      <w:spacing w:line="240" w:lineRule="auto"/>
      <w:jc w:val="center"/>
    </w:pPr>
    <w:rPr>
      <w:rFonts w:ascii="黑体" w:eastAsia="黑体"/>
      <w:kern w:val="0"/>
      <w:sz w:val="52"/>
    </w:rPr>
  </w:style>
  <w:style w:type="paragraph" w:customStyle="1" w:styleId="128">
    <w:name w:val="目录 51"/>
    <w:basedOn w:val="1"/>
    <w:next w:val="1"/>
    <w:semiHidden/>
    <w:qFormat/>
    <w:uiPriority w:val="0"/>
    <w:pPr>
      <w:spacing w:line="240" w:lineRule="auto"/>
    </w:pPr>
    <w:rPr>
      <w:rFonts w:ascii="宋体" w:hAnsi="宋体"/>
    </w:rPr>
  </w:style>
  <w:style w:type="paragraph" w:customStyle="1" w:styleId="129">
    <w:name w:val="无标题条"/>
    <w:next w:val="37"/>
    <w:qFormat/>
    <w:uiPriority w:val="0"/>
    <w:pPr>
      <w:jc w:val="both"/>
    </w:pPr>
    <w:rPr>
      <w:rFonts w:ascii="宋体" w:hAnsi="宋体" w:eastAsia="宋体" w:cs="Times New Roman"/>
      <w:sz w:val="21"/>
      <w:lang w:val="en-US" w:eastAsia="zh-CN" w:bidi="ar-SA"/>
    </w:rPr>
  </w:style>
  <w:style w:type="paragraph" w:customStyle="1" w:styleId="13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31">
    <w:name w:val="标准文件_三级项2"/>
    <w:basedOn w:val="37"/>
    <w:qFormat/>
    <w:uiPriority w:val="0"/>
    <w:pPr>
      <w:numPr>
        <w:ilvl w:val="0"/>
        <w:numId w:val="22"/>
      </w:numPr>
      <w:spacing w:line="300" w:lineRule="exact"/>
      <w:ind w:left="1276" w:hanging="425" w:firstLineChars="0"/>
    </w:pPr>
    <w:rPr>
      <w:rFonts w:ascii="Times New Roman"/>
    </w:rPr>
  </w:style>
  <w:style w:type="paragraph" w:customStyle="1" w:styleId="132">
    <w:name w:val="标准文件_示例后续"/>
    <w:basedOn w:val="1"/>
    <w:qFormat/>
    <w:uiPriority w:val="0"/>
    <w:pPr>
      <w:adjustRightInd/>
      <w:spacing w:line="240" w:lineRule="auto"/>
      <w:ind w:firstLine="200" w:firstLineChars="200"/>
    </w:pPr>
    <w:rPr>
      <w:sz w:val="18"/>
      <w:szCs w:val="24"/>
    </w:rPr>
  </w:style>
  <w:style w:type="paragraph" w:customStyle="1" w:styleId="133">
    <w:name w:val="标准文件_术语条四"/>
    <w:basedOn w:val="134"/>
    <w:next w:val="37"/>
    <w:qFormat/>
    <w:uiPriority w:val="0"/>
    <w:rPr>
      <w:rFonts w:ascii="黑体" w:eastAsia="黑体" w:cs="黑体"/>
    </w:rPr>
  </w:style>
  <w:style w:type="paragraph" w:customStyle="1" w:styleId="134">
    <w:name w:val="标准文件_四级无标题"/>
    <w:basedOn w:val="42"/>
    <w:qFormat/>
    <w:uiPriority w:val="0"/>
    <w:pPr>
      <w:spacing w:before="0" w:beforeLines="0" w:after="0" w:afterLines="0"/>
      <w:outlineLvl w:val="9"/>
    </w:pPr>
    <w:rPr>
      <w:rFonts w:ascii="宋体" w:hAnsi="黑体" w:eastAsia="宋体"/>
      <w:szCs w:val="52"/>
    </w:rPr>
  </w:style>
  <w:style w:type="paragraph" w:customStyle="1" w:styleId="135">
    <w:name w:val="目录 81"/>
    <w:basedOn w:val="119"/>
    <w:semiHidden/>
    <w:qFormat/>
    <w:uiPriority w:val="0"/>
    <w:pPr>
      <w:ind w:left="1470"/>
    </w:pPr>
  </w:style>
  <w:style w:type="paragraph" w:customStyle="1" w:styleId="136">
    <w:name w:val="标准文件_附录表标题"/>
    <w:next w:val="37"/>
    <w:uiPriority w:val="0"/>
    <w:pPr>
      <w:numPr>
        <w:ilvl w:val="1"/>
        <w:numId w:val="8"/>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character" w:customStyle="1" w:styleId="137">
    <w:name w:val="Subtle Reference1"/>
    <w:qFormat/>
    <w:uiPriority w:val="31"/>
    <w:rPr>
      <w:smallCaps/>
      <w:color w:val="C0504D"/>
      <w:u w:val="single"/>
    </w:rPr>
  </w:style>
  <w:style w:type="paragraph" w:customStyle="1" w:styleId="138">
    <w:name w:val="附录二级无标题条"/>
    <w:basedOn w:val="1"/>
    <w:next w:val="37"/>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9">
    <w:name w:val="标准文件_附录标题"/>
    <w:basedOn w:val="140"/>
    <w:qFormat/>
    <w:uiPriority w:val="0"/>
    <w:pPr>
      <w:numPr>
        <w:numId w:val="0"/>
      </w:numPr>
      <w:tabs>
        <w:tab w:val="left" w:pos="6406"/>
      </w:tabs>
      <w:spacing w:after="280"/>
      <w:outlineLvl w:val="9"/>
    </w:pPr>
  </w:style>
  <w:style w:type="paragraph" w:customStyle="1" w:styleId="140">
    <w:name w:val="标准文件_附录标识"/>
    <w:next w:val="37"/>
    <w:qFormat/>
    <w:uiPriority w:val="0"/>
    <w:pPr>
      <w:numPr>
        <w:ilvl w:val="0"/>
        <w:numId w:val="3"/>
      </w:numPr>
      <w:shd w:val="clear" w:color="FFFFFF" w:fill="FFFFFF"/>
      <w:tabs>
        <w:tab w:val="left" w:pos="6406"/>
      </w:tabs>
      <w:spacing w:before="680" w:after="50" w:afterLines="50"/>
      <w:jc w:val="center"/>
      <w:outlineLvl w:val="0"/>
    </w:pPr>
    <w:rPr>
      <w:rFonts w:ascii="黑体" w:hAnsi="黑体" w:eastAsia="黑体" w:cs="Times New Roman"/>
      <w:sz w:val="21"/>
      <w:lang w:val="en-US" w:eastAsia="zh-CN" w:bidi="ar-SA"/>
    </w:rPr>
  </w:style>
  <w:style w:type="paragraph" w:customStyle="1" w:styleId="141">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4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43">
    <w:name w:val="标准文件_注×："/>
    <w:uiPriority w:val="0"/>
    <w:pPr>
      <w:widowControl w:val="0"/>
      <w:numPr>
        <w:ilvl w:val="0"/>
        <w:numId w:val="23"/>
      </w:numPr>
      <w:autoSpaceDE w:val="0"/>
      <w:autoSpaceDN w:val="0"/>
      <w:jc w:val="both"/>
    </w:pPr>
    <w:rPr>
      <w:rFonts w:ascii="宋体" w:hAnsi="Times New Roman" w:eastAsia="宋体" w:cs="Times New Roman"/>
      <w:sz w:val="18"/>
      <w:szCs w:val="18"/>
      <w:lang w:val="en-US" w:eastAsia="zh-CN" w:bidi="ar-SA"/>
    </w:rPr>
  </w:style>
  <w:style w:type="paragraph" w:customStyle="1" w:styleId="144">
    <w:name w:val="目录 21"/>
    <w:basedOn w:val="1"/>
    <w:next w:val="1"/>
    <w:semiHidden/>
    <w:qFormat/>
    <w:uiPriority w:val="0"/>
    <w:pPr>
      <w:adjustRightInd/>
      <w:spacing w:line="240" w:lineRule="auto"/>
      <w:jc w:val="left"/>
    </w:pPr>
    <w:rPr>
      <w:bCs/>
      <w:iCs/>
    </w:rPr>
  </w:style>
  <w:style w:type="paragraph" w:customStyle="1" w:styleId="145">
    <w:name w:val="附录图"/>
    <w:next w:val="37"/>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46">
    <w:name w:val="其他实施日期"/>
    <w:basedOn w:val="122"/>
    <w:qFormat/>
    <w:uiPriority w:val="0"/>
    <w:pPr>
      <w:framePr w:w="3997" w:h="471" w:hRule="exact" w:vSpace="181" w:wrap="around" w:vAnchor="page" w:hAnchor="page" w:x="7089" w:y="14097"/>
    </w:pPr>
  </w:style>
  <w:style w:type="paragraph" w:customStyle="1" w:styleId="147">
    <w:name w:val="标准文件_脚注内容"/>
    <w:basedOn w:val="37"/>
    <w:qFormat/>
    <w:uiPriority w:val="0"/>
    <w:pPr>
      <w:ind w:left="400" w:leftChars="200" w:hanging="200" w:hangingChars="200"/>
    </w:pPr>
    <w:rPr>
      <w:sz w:val="15"/>
    </w:rPr>
  </w:style>
  <w:style w:type="character" w:customStyle="1" w:styleId="148">
    <w:name w:val="Heading 3 Char"/>
    <w:link w:val="4"/>
    <w:qFormat/>
    <w:uiPriority w:val="0"/>
    <w:rPr>
      <w:rFonts w:ascii="Times New Roman" w:hAnsi="Times New Roman" w:eastAsia="宋体" w:cs="Times New Roman"/>
      <w:b/>
      <w:bCs/>
      <w:sz w:val="32"/>
      <w:szCs w:val="32"/>
    </w:rPr>
  </w:style>
  <w:style w:type="paragraph" w:customStyle="1" w:styleId="149">
    <w:name w:val="封面正文"/>
    <w:qFormat/>
    <w:uiPriority w:val="0"/>
    <w:pPr>
      <w:jc w:val="both"/>
    </w:pPr>
    <w:rPr>
      <w:rFonts w:ascii="Times New Roman" w:hAnsi="Times New Roman" w:eastAsia="宋体" w:cs="Times New Roman"/>
      <w:lang w:val="en-US" w:eastAsia="zh-CN" w:bidi="ar-SA"/>
    </w:rPr>
  </w:style>
  <w:style w:type="paragraph" w:customStyle="1" w:styleId="150">
    <w:name w:val="标准文件_封面密级"/>
    <w:basedOn w:val="1"/>
    <w:uiPriority w:val="0"/>
    <w:rPr>
      <w:rFonts w:eastAsia="黑体"/>
      <w:sz w:val="32"/>
    </w:rPr>
  </w:style>
  <w:style w:type="paragraph" w:customStyle="1" w:styleId="151">
    <w:name w:val="标准文件_术语条一"/>
    <w:basedOn w:val="61"/>
    <w:next w:val="37"/>
    <w:qFormat/>
    <w:uiPriority w:val="0"/>
    <w:rPr>
      <w:rFonts w:ascii="黑体" w:hAnsi="黑体" w:eastAsia="黑体" w:cs="黑体"/>
    </w:rPr>
  </w:style>
  <w:style w:type="paragraph" w:customStyle="1" w:styleId="152">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3">
    <w:name w:val="标准文件_附录英文标识"/>
    <w:next w:val="13"/>
    <w:qFormat/>
    <w:uiPriority w:val="0"/>
    <w:pPr>
      <w:numPr>
        <w:ilvl w:val="0"/>
        <w:numId w:val="24"/>
      </w:numPr>
      <w:tabs>
        <w:tab w:val="left" w:pos="6406"/>
      </w:tabs>
      <w:spacing w:before="220" w:after="320"/>
      <w:jc w:val="center"/>
      <w:outlineLvl w:val="0"/>
    </w:pPr>
    <w:rPr>
      <w:rFonts w:ascii="黑体" w:hAnsi="Times New Roman" w:eastAsia="黑体" w:cs="Times New Roman"/>
      <w:sz w:val="21"/>
      <w:lang w:val="en-US" w:eastAsia="zh-CN" w:bidi="ar-SA"/>
    </w:rPr>
  </w:style>
  <w:style w:type="paragraph" w:customStyle="1" w:styleId="154">
    <w:name w:val="标准文件_前言、引言标题"/>
    <w:next w:val="1"/>
    <w:qFormat/>
    <w:uiPriority w:val="0"/>
    <w:pPr>
      <w:numPr>
        <w:ilvl w:val="0"/>
        <w:numId w:val="4"/>
      </w:numPr>
      <w:shd w:val="clear" w:color="FFFFFF" w:fill="FFFFFF"/>
      <w:spacing w:before="680" w:after="150" w:afterLines="150"/>
      <w:ind w:left="0" w:firstLine="0"/>
      <w:jc w:val="center"/>
      <w:outlineLvl w:val="0"/>
    </w:pPr>
    <w:rPr>
      <w:rFonts w:ascii="黑体" w:hAnsi="黑体" w:eastAsia="黑体" w:cs="Times New Roman"/>
      <w:sz w:val="32"/>
      <w:lang w:val="en-US" w:eastAsia="zh-CN" w:bidi="ar-SA"/>
    </w:rPr>
  </w:style>
  <w:style w:type="paragraph" w:customStyle="1" w:styleId="155">
    <w:name w:val="标准文件_注X后"/>
    <w:basedOn w:val="37"/>
    <w:qFormat/>
    <w:uiPriority w:val="0"/>
    <w:pPr>
      <w:ind w:left="811" w:firstLine="0" w:firstLineChars="0"/>
    </w:pPr>
    <w:rPr>
      <w:sz w:val="18"/>
    </w:rPr>
  </w:style>
  <w:style w:type="paragraph" w:customStyle="1" w:styleId="156">
    <w:name w:val="标准文件_目录标题"/>
    <w:basedOn w:val="1"/>
    <w:qFormat/>
    <w:uiPriority w:val="0"/>
    <w:pPr>
      <w:spacing w:before="680" w:after="150" w:afterLines="150" w:line="240" w:lineRule="auto"/>
      <w:jc w:val="center"/>
    </w:pPr>
    <w:rPr>
      <w:rFonts w:ascii="黑体" w:hAnsi="黑体" w:eastAsia="黑体"/>
      <w:sz w:val="32"/>
    </w:rPr>
  </w:style>
  <w:style w:type="paragraph" w:customStyle="1" w:styleId="157">
    <w:name w:val="标准文件_引言三级无标题"/>
    <w:basedOn w:val="125"/>
    <w:next w:val="37"/>
    <w:qFormat/>
    <w:uiPriority w:val="0"/>
    <w:pPr>
      <w:spacing w:before="0" w:beforeLines="0" w:after="0" w:afterLines="0" w:line="276" w:lineRule="auto"/>
    </w:pPr>
    <w:rPr>
      <w:rFonts w:ascii="宋体" w:eastAsia="宋体"/>
    </w:rPr>
  </w:style>
  <w:style w:type="paragraph" w:customStyle="1" w:styleId="158">
    <w:name w:val="四级无标题条"/>
    <w:basedOn w:val="1"/>
    <w:qFormat/>
    <w:uiPriority w:val="0"/>
    <w:pPr>
      <w:numPr>
        <w:ilvl w:val="5"/>
        <w:numId w:val="18"/>
      </w:numPr>
      <w:adjustRightInd/>
      <w:spacing w:line="240" w:lineRule="auto"/>
    </w:pPr>
    <w:rPr>
      <w:rFonts w:ascii="宋体" w:hAnsi="宋体"/>
      <w:szCs w:val="24"/>
    </w:rPr>
  </w:style>
  <w:style w:type="paragraph" w:customStyle="1" w:styleId="159">
    <w:name w:val="标准文件_附录图标题"/>
    <w:next w:val="37"/>
    <w:qFormat/>
    <w:uiPriority w:val="0"/>
    <w:pPr>
      <w:numPr>
        <w:ilvl w:val="1"/>
        <w:numId w:val="25"/>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160">
    <w:name w:val="标准文件_目次、标准名称标题"/>
    <w:basedOn w:val="154"/>
    <w:next w:val="37"/>
    <w:qFormat/>
    <w:uiPriority w:val="0"/>
    <w:pPr>
      <w:spacing w:line="460" w:lineRule="exact"/>
    </w:pPr>
  </w:style>
  <w:style w:type="character" w:customStyle="1" w:styleId="161">
    <w:name w:val="Heading 5 Char"/>
    <w:link w:val="6"/>
    <w:qFormat/>
    <w:uiPriority w:val="0"/>
    <w:rPr>
      <w:rFonts w:ascii="Times New Roman" w:hAnsi="Times New Roman" w:eastAsia="宋体" w:cs="Times New Roman"/>
      <w:b/>
      <w:bCs/>
      <w:sz w:val="28"/>
      <w:szCs w:val="28"/>
    </w:rPr>
  </w:style>
  <w:style w:type="paragraph" w:customStyle="1" w:styleId="162">
    <w:name w:val="标准文件_标准代替"/>
    <w:basedOn w:val="1"/>
    <w:next w:val="1"/>
    <w:qFormat/>
    <w:uiPriority w:val="0"/>
    <w:pPr>
      <w:spacing w:line="310" w:lineRule="exact"/>
      <w:jc w:val="right"/>
    </w:pPr>
    <w:rPr>
      <w:rFonts w:ascii="宋体" w:hAnsi="宋体"/>
      <w:kern w:val="0"/>
    </w:rPr>
  </w:style>
  <w:style w:type="paragraph" w:customStyle="1" w:styleId="163">
    <w:name w:val="标准文件_数字编号列项（二级）"/>
    <w:uiPriority w:val="0"/>
    <w:pPr>
      <w:numPr>
        <w:ilvl w:val="1"/>
        <w:numId w:val="21"/>
      </w:numPr>
      <w:jc w:val="both"/>
    </w:pPr>
    <w:rPr>
      <w:rFonts w:ascii="宋体" w:hAnsi="Times New Roman" w:eastAsia="宋体" w:cs="Times New Roman"/>
      <w:sz w:val="21"/>
      <w:lang w:val="en-US" w:eastAsia="zh-CN" w:bidi="ar-SA"/>
    </w:rPr>
  </w:style>
  <w:style w:type="paragraph" w:customStyle="1" w:styleId="164">
    <w:name w:val="标准文件_引言二级无标题"/>
    <w:basedOn w:val="123"/>
    <w:next w:val="37"/>
    <w:qFormat/>
    <w:uiPriority w:val="0"/>
    <w:pPr>
      <w:spacing w:before="0" w:beforeLines="0" w:after="0" w:afterLines="0" w:line="276" w:lineRule="auto"/>
    </w:pPr>
    <w:rPr>
      <w:rFonts w:ascii="宋体" w:eastAsia="宋体"/>
    </w:rPr>
  </w:style>
  <w:style w:type="paragraph" w:customStyle="1" w:styleId="165">
    <w:name w:val="标准文件_五级条标题"/>
    <w:next w:val="37"/>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66">
    <w:name w:val="标准文件_示例×："/>
    <w:basedOn w:val="1"/>
    <w:next w:val="95"/>
    <w:qFormat/>
    <w:uiPriority w:val="0"/>
    <w:pPr>
      <w:widowControl/>
      <w:numPr>
        <w:ilvl w:val="0"/>
        <w:numId w:val="26"/>
      </w:numPr>
      <w:adjustRightInd/>
      <w:spacing w:line="240" w:lineRule="auto"/>
    </w:pPr>
    <w:rPr>
      <w:rFonts w:ascii="宋体" w:hAnsi="Times New Roman"/>
      <w:kern w:val="0"/>
      <w:sz w:val="18"/>
      <w:szCs w:val="18"/>
    </w:rPr>
  </w:style>
  <w:style w:type="paragraph" w:customStyle="1" w:styleId="167">
    <w:name w:val="标准文件_索引标题"/>
    <w:basedOn w:val="118"/>
    <w:next w:val="37"/>
    <w:qFormat/>
    <w:uiPriority w:val="0"/>
  </w:style>
  <w:style w:type="paragraph" w:customStyle="1" w:styleId="168">
    <w:name w:val="标准文件_引言一级条标题"/>
    <w:basedOn w:val="37"/>
    <w:next w:val="37"/>
    <w:qFormat/>
    <w:uiPriority w:val="0"/>
    <w:pPr>
      <w:numPr>
        <w:ilvl w:val="1"/>
        <w:numId w:val="4"/>
      </w:numPr>
      <w:spacing w:before="50" w:beforeLines="50" w:after="50" w:afterLines="50"/>
      <w:ind w:firstLineChars="0"/>
    </w:pPr>
    <w:rPr>
      <w:rFonts w:ascii="黑体" w:eastAsia="黑体"/>
    </w:rPr>
  </w:style>
  <w:style w:type="paragraph" w:customStyle="1" w:styleId="169">
    <w:name w:val="标准文件_附录四级条标题"/>
    <w:next w:val="37"/>
    <w:qFormat/>
    <w:uiPriority w:val="0"/>
    <w:pPr>
      <w:widowControl w:val="0"/>
      <w:numPr>
        <w:ilvl w:val="4"/>
        <w:numId w:val="3"/>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170">
    <w:name w:val="目录 31"/>
    <w:basedOn w:val="1"/>
    <w:next w:val="1"/>
    <w:semiHidden/>
    <w:qFormat/>
    <w:uiPriority w:val="0"/>
    <w:pPr>
      <w:spacing w:line="240" w:lineRule="auto"/>
    </w:pPr>
    <w:rPr>
      <w:rFonts w:ascii="宋体" w:hAnsi="宋体"/>
      <w:iCs/>
    </w:rPr>
  </w:style>
  <w:style w:type="paragraph" w:customStyle="1" w:styleId="171">
    <w:name w:val="注×:后续"/>
    <w:basedOn w:val="65"/>
    <w:qFormat/>
    <w:uiPriority w:val="0"/>
    <w:pPr>
      <w:ind w:left="1406" w:leftChars="0" w:hanging="499" w:firstLineChars="0"/>
    </w:pPr>
  </w:style>
  <w:style w:type="paragraph" w:customStyle="1" w:styleId="172">
    <w:name w:val="标准文件_编号列项（三级）"/>
    <w:qFormat/>
    <w:uiPriority w:val="0"/>
    <w:pPr>
      <w:numPr>
        <w:ilvl w:val="2"/>
        <w:numId w:val="21"/>
      </w:numPr>
    </w:pPr>
    <w:rPr>
      <w:rFonts w:ascii="宋体" w:hAnsi="Times New Roman" w:eastAsia="宋体" w:cs="Times New Roman"/>
      <w:sz w:val="21"/>
      <w:lang w:val="en-US" w:eastAsia="zh-CN" w:bidi="ar-SA"/>
    </w:rPr>
  </w:style>
  <w:style w:type="paragraph" w:customStyle="1" w:styleId="173">
    <w:name w:val="标准文件_文件名称"/>
    <w:basedOn w:val="37"/>
    <w:next w:val="37"/>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character" w:customStyle="1" w:styleId="174">
    <w:name w:val="Body Text Char"/>
    <w:link w:val="13"/>
    <w:qFormat/>
    <w:uiPriority w:val="0"/>
    <w:rPr>
      <w:rFonts w:ascii="Times New Roman" w:hAnsi="Times New Roman" w:eastAsia="宋体" w:cs="Times New Roman"/>
      <w:szCs w:val="20"/>
    </w:rPr>
  </w:style>
  <w:style w:type="paragraph" w:customStyle="1" w:styleId="175">
    <w:name w:val="一级无标题条"/>
    <w:basedOn w:val="1"/>
    <w:qFormat/>
    <w:uiPriority w:val="0"/>
    <w:pPr>
      <w:numPr>
        <w:ilvl w:val="2"/>
        <w:numId w:val="18"/>
      </w:numPr>
      <w:adjustRightInd/>
      <w:spacing w:before="10" w:after="10" w:line="240" w:lineRule="auto"/>
    </w:pPr>
    <w:rPr>
      <w:rFonts w:ascii="宋体" w:hAnsi="宋体"/>
      <w:szCs w:val="24"/>
    </w:rPr>
  </w:style>
  <w:style w:type="paragraph" w:customStyle="1" w:styleId="176">
    <w:name w:val="标准文件_版本"/>
    <w:basedOn w:val="108"/>
    <w:qFormat/>
    <w:uiPriority w:val="0"/>
    <w:pPr>
      <w:adjustRightInd/>
      <w:snapToGrid/>
      <w:ind w:firstLine="0" w:firstLineChars="0"/>
    </w:pPr>
    <w:rPr>
      <w:rFonts w:ascii="宋体" w:hAnsi="宋体"/>
      <w:kern w:val="2"/>
    </w:rPr>
  </w:style>
  <w:style w:type="paragraph" w:customStyle="1" w:styleId="177">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character" w:customStyle="1" w:styleId="178">
    <w:name w:val="Title Char"/>
    <w:link w:val="25"/>
    <w:qFormat/>
    <w:uiPriority w:val="0"/>
    <w:rPr>
      <w:rFonts w:ascii="Arial" w:hAnsi="Arial" w:eastAsia="宋体" w:cs="Arial"/>
      <w:b/>
      <w:bCs/>
      <w:sz w:val="32"/>
      <w:szCs w:val="32"/>
    </w:rPr>
  </w:style>
  <w:style w:type="paragraph" w:customStyle="1" w:styleId="179">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80">
    <w:name w:val="标准文件_英文注×："/>
    <w:basedOn w:val="1"/>
    <w:qFormat/>
    <w:uiPriority w:val="0"/>
    <w:pPr>
      <w:numPr>
        <w:ilvl w:val="0"/>
        <w:numId w:val="27"/>
      </w:numPr>
      <w:tabs>
        <w:tab w:val="left" w:pos="210"/>
      </w:tabs>
      <w:autoSpaceDE w:val="0"/>
      <w:autoSpaceDN w:val="0"/>
      <w:spacing w:line="240" w:lineRule="auto"/>
    </w:pPr>
    <w:rPr>
      <w:rFonts w:ascii="宋体" w:hAnsi="宋体"/>
      <w:kern w:val="0"/>
      <w:szCs w:val="20"/>
    </w:rPr>
  </w:style>
  <w:style w:type="paragraph" w:customStyle="1" w:styleId="181">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character" w:customStyle="1" w:styleId="182">
    <w:name w:val="Heading 2 Char"/>
    <w:link w:val="3"/>
    <w:qFormat/>
    <w:uiPriority w:val="0"/>
    <w:rPr>
      <w:rFonts w:ascii="Arial" w:hAnsi="Arial" w:eastAsia="黑体" w:cs="Times New Roman"/>
      <w:b/>
      <w:bCs/>
      <w:sz w:val="32"/>
      <w:szCs w:val="32"/>
    </w:rPr>
  </w:style>
  <w:style w:type="paragraph" w:customStyle="1" w:styleId="18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character" w:customStyle="1" w:styleId="184">
    <w:name w:val="Unresolved Mention"/>
    <w:basedOn w:val="28"/>
    <w:semiHidden/>
    <w:unhideWhenUsed/>
    <w:uiPriority w:val="99"/>
    <w:rPr>
      <w:color w:val="605E5C"/>
      <w:shd w:val="clear" w:color="auto" w:fill="E1DFDD"/>
    </w:rPr>
  </w:style>
  <w:style w:type="character" w:customStyle="1" w:styleId="185">
    <w:name w:val="Footer Char"/>
    <w:link w:val="17"/>
    <w:qFormat/>
    <w:uiPriority w:val="99"/>
    <w:rPr>
      <w:rFonts w:ascii="宋体" w:hAnsi="Times New Roman" w:eastAsia="宋体" w:cs="Times New Roman"/>
      <w:sz w:val="18"/>
      <w:szCs w:val="18"/>
    </w:rPr>
  </w:style>
  <w:style w:type="character" w:customStyle="1" w:styleId="186">
    <w:name w:val="Heading 6 Char"/>
    <w:link w:val="7"/>
    <w:qFormat/>
    <w:uiPriority w:val="0"/>
    <w:rPr>
      <w:rFonts w:ascii="Arial" w:hAnsi="Arial" w:eastAsia="黑体" w:cs="Times New Roman"/>
      <w:b/>
      <w:bCs/>
      <w:sz w:val="24"/>
      <w:szCs w:val="24"/>
    </w:rPr>
  </w:style>
  <w:style w:type="paragraph" w:customStyle="1" w:styleId="187">
    <w:name w:val="标准文件_附录一级无标题"/>
    <w:basedOn w:val="86"/>
    <w:qFormat/>
    <w:uiPriority w:val="0"/>
    <w:pPr>
      <w:spacing w:before="0" w:beforeLines="0" w:after="0" w:afterLines="0" w:line="276" w:lineRule="auto"/>
      <w:outlineLvl w:val="9"/>
    </w:pPr>
    <w:rPr>
      <w:rFonts w:ascii="宋体" w:eastAsia="宋体"/>
    </w:rPr>
  </w:style>
  <w:style w:type="paragraph" w:customStyle="1" w:styleId="188">
    <w:name w:val="标准文件_封面发布日期"/>
    <w:basedOn w:val="1"/>
    <w:qFormat/>
    <w:uiPriority w:val="0"/>
    <w:pPr>
      <w:spacing w:line="310" w:lineRule="exact"/>
    </w:pPr>
    <w:rPr>
      <w:rFonts w:ascii="黑体" w:eastAsia="黑体"/>
      <w:kern w:val="0"/>
      <w:sz w:val="28"/>
    </w:rPr>
  </w:style>
  <w:style w:type="paragraph" w:customStyle="1" w:styleId="189">
    <w:name w:val="标准文件_术语条五"/>
    <w:basedOn w:val="190"/>
    <w:next w:val="37"/>
    <w:qFormat/>
    <w:uiPriority w:val="0"/>
    <w:rPr>
      <w:rFonts w:ascii="黑体" w:hAnsi="黑体" w:eastAsia="黑体" w:cs="黑体"/>
    </w:rPr>
  </w:style>
  <w:style w:type="paragraph" w:customStyle="1" w:styleId="190">
    <w:name w:val="标准文件_五级无标题"/>
    <w:basedOn w:val="165"/>
    <w:qFormat/>
    <w:uiPriority w:val="0"/>
    <w:pPr>
      <w:spacing w:before="0" w:beforeLines="0" w:after="0" w:afterLines="0"/>
      <w:outlineLvl w:val="9"/>
    </w:pPr>
    <w:rPr>
      <w:rFonts w:ascii="宋体" w:eastAsia="宋体"/>
    </w:rPr>
  </w:style>
  <w:style w:type="paragraph" w:customStyle="1" w:styleId="191">
    <w:name w:val="标准文件_正文英文图标题"/>
    <w:next w:val="37"/>
    <w:qFormat/>
    <w:uiPriority w:val="0"/>
    <w:pPr>
      <w:numPr>
        <w:ilvl w:val="0"/>
        <w:numId w:val="28"/>
      </w:numPr>
      <w:jc w:val="center"/>
    </w:pPr>
    <w:rPr>
      <w:rFonts w:ascii="黑体" w:hAnsi="Times New Roman" w:eastAsia="黑体" w:cs="Times New Roman"/>
      <w:sz w:val="21"/>
      <w:lang w:val="en-US" w:eastAsia="zh-CN" w:bidi="ar-SA"/>
    </w:rPr>
  </w:style>
  <w:style w:type="paragraph" w:customStyle="1" w:styleId="192">
    <w:name w:val="标准文件_封面标准分类号"/>
    <w:basedOn w:val="1"/>
    <w:qFormat/>
    <w:uiPriority w:val="0"/>
    <w:rPr>
      <w:rFonts w:ascii="黑体" w:eastAsia="黑体"/>
      <w:b/>
      <w:kern w:val="0"/>
      <w:sz w:val="28"/>
    </w:rPr>
  </w:style>
  <w:style w:type="paragraph" w:customStyle="1" w:styleId="193">
    <w:name w:val="目录 41"/>
    <w:basedOn w:val="1"/>
    <w:next w:val="1"/>
    <w:semiHidden/>
    <w:qFormat/>
    <w:uiPriority w:val="0"/>
    <w:pPr>
      <w:adjustRightInd/>
      <w:spacing w:line="240" w:lineRule="auto"/>
      <w:jc w:val="left"/>
    </w:pPr>
  </w:style>
  <w:style w:type="character" w:customStyle="1" w:styleId="194">
    <w:name w:val="Heading 4 Char"/>
    <w:link w:val="5"/>
    <w:qFormat/>
    <w:uiPriority w:val="0"/>
    <w:rPr>
      <w:rFonts w:ascii="Arial" w:hAnsi="Arial" w:eastAsia="黑体" w:cs="Times New Roman"/>
      <w:b/>
      <w:bCs/>
      <w:sz w:val="28"/>
      <w:szCs w:val="28"/>
    </w:rPr>
  </w:style>
  <w:style w:type="paragraph" w:customStyle="1" w:styleId="195">
    <w:name w:val="标准文件_附录四级无标题"/>
    <w:basedOn w:val="169"/>
    <w:qFormat/>
    <w:uiPriority w:val="0"/>
    <w:pPr>
      <w:spacing w:before="0" w:beforeLines="0" w:after="0" w:afterLines="0" w:line="276" w:lineRule="auto"/>
      <w:outlineLvl w:val="9"/>
    </w:pPr>
    <w:rPr>
      <w:rFonts w:ascii="宋体" w:eastAsia="宋体"/>
    </w:rPr>
  </w:style>
  <w:style w:type="character" w:customStyle="1" w:styleId="196">
    <w:name w:val="个人答复风格"/>
    <w:qFormat/>
    <w:uiPriority w:val="0"/>
    <w:rPr>
      <w:rFonts w:ascii="Arial" w:hAnsi="Arial" w:eastAsia="宋体" w:cs="Arial"/>
      <w:color w:val="auto"/>
      <w:spacing w:val="0"/>
      <w:sz w:val="20"/>
    </w:rPr>
  </w:style>
  <w:style w:type="paragraph" w:customStyle="1" w:styleId="197">
    <w:name w:val="标准文件_封面抬头"/>
    <w:basedOn w:val="37"/>
    <w:qFormat/>
    <w:uiPriority w:val="0"/>
    <w:pPr>
      <w:adjustRightInd w:val="0"/>
      <w:spacing w:line="800" w:lineRule="exact"/>
      <w:ind w:firstLine="0" w:firstLineChars="0"/>
      <w:jc w:val="distribute"/>
    </w:pPr>
    <w:rPr>
      <w:rFonts w:ascii="黑体" w:eastAsia="黑体"/>
      <w:b/>
      <w:sz w:val="64"/>
    </w:rPr>
  </w:style>
  <w:style w:type="paragraph" w:customStyle="1" w:styleId="198">
    <w:name w:val="标准书眉一"/>
    <w:qFormat/>
    <w:uiPriority w:val="0"/>
    <w:pPr>
      <w:jc w:val="both"/>
    </w:pPr>
    <w:rPr>
      <w:rFonts w:ascii="Times New Roman" w:hAnsi="Times New Roman" w:eastAsia="宋体" w:cs="Times New Roman"/>
      <w:lang w:val="en-US" w:eastAsia="zh-CN" w:bidi="ar-SA"/>
    </w:rPr>
  </w:style>
  <w:style w:type="paragraph" w:customStyle="1" w:styleId="199">
    <w:name w:val="附录五级无标题条"/>
    <w:basedOn w:val="200"/>
    <w:next w:val="37"/>
    <w:qFormat/>
    <w:uiPriority w:val="0"/>
    <w:pPr>
      <w:outlineLvl w:val="6"/>
    </w:pPr>
  </w:style>
  <w:style w:type="paragraph" w:customStyle="1" w:styleId="200">
    <w:name w:val="附录四级无标题条"/>
    <w:basedOn w:val="201"/>
    <w:next w:val="37"/>
    <w:uiPriority w:val="0"/>
    <w:pPr>
      <w:outlineLvl w:val="5"/>
    </w:pPr>
  </w:style>
  <w:style w:type="paragraph" w:customStyle="1" w:styleId="201">
    <w:name w:val="附录三级无标题条"/>
    <w:basedOn w:val="138"/>
    <w:next w:val="37"/>
    <w:qFormat/>
    <w:uiPriority w:val="0"/>
    <w:pPr>
      <w:outlineLvl w:val="4"/>
    </w:pPr>
  </w:style>
  <w:style w:type="character" w:customStyle="1" w:styleId="202">
    <w:name w:val="Quote Char"/>
    <w:link w:val="203"/>
    <w:qFormat/>
    <w:uiPriority w:val="29"/>
    <w:rPr>
      <w:i/>
      <w:iCs/>
      <w:color w:val="000000"/>
    </w:rPr>
  </w:style>
  <w:style w:type="paragraph" w:styleId="203">
    <w:name w:val="Quote"/>
    <w:basedOn w:val="1"/>
    <w:next w:val="1"/>
    <w:link w:val="202"/>
    <w:qFormat/>
    <w:uiPriority w:val="29"/>
    <w:rPr>
      <w:i/>
      <w:iCs/>
      <w:color w:val="000000"/>
    </w:rPr>
  </w:style>
  <w:style w:type="paragraph" w:customStyle="1" w:styleId="204">
    <w:name w:val="标准文件_表格"/>
    <w:basedOn w:val="37"/>
    <w:qFormat/>
    <w:uiPriority w:val="0"/>
    <w:pPr>
      <w:ind w:firstLine="0" w:firstLineChars="0"/>
      <w:jc w:val="center"/>
    </w:pPr>
    <w:rPr>
      <w:sz w:val="18"/>
    </w:rPr>
  </w:style>
  <w:style w:type="paragraph" w:customStyle="1" w:styleId="205">
    <w:name w:val="标准文件_术语条三"/>
    <w:basedOn w:val="206"/>
    <w:next w:val="37"/>
    <w:qFormat/>
    <w:uiPriority w:val="0"/>
    <w:rPr>
      <w:rFonts w:ascii="黑体" w:hAnsi="黑体" w:eastAsia="黑体" w:cs="黑体"/>
    </w:rPr>
  </w:style>
  <w:style w:type="paragraph" w:customStyle="1" w:styleId="206">
    <w:name w:val="标准文件_三级无标题"/>
    <w:basedOn w:val="71"/>
    <w:qFormat/>
    <w:uiPriority w:val="0"/>
    <w:pPr>
      <w:spacing w:before="0" w:beforeLines="0" w:after="0" w:afterLines="0"/>
      <w:outlineLvl w:val="9"/>
    </w:pPr>
    <w:rPr>
      <w:rFonts w:ascii="宋体" w:eastAsia="宋体"/>
    </w:rPr>
  </w:style>
  <w:style w:type="paragraph" w:customStyle="1" w:styleId="207">
    <w:name w:val="标准文件_表格续"/>
    <w:basedOn w:val="37"/>
    <w:next w:val="37"/>
    <w:qFormat/>
    <w:uiPriority w:val="0"/>
    <w:pPr>
      <w:jc w:val="center"/>
    </w:pPr>
    <w:rPr>
      <w:rFonts w:ascii="黑体" w:hAnsi="黑体" w:eastAsia="黑体"/>
    </w:rPr>
  </w:style>
  <w:style w:type="paragraph" w:customStyle="1" w:styleId="208">
    <w:name w:val="标准文件_附录五级无标题"/>
    <w:basedOn w:val="209"/>
    <w:qFormat/>
    <w:uiPriority w:val="0"/>
    <w:pPr>
      <w:spacing w:before="0" w:beforeLines="0" w:after="0" w:afterLines="0" w:line="276" w:lineRule="auto"/>
      <w:outlineLvl w:val="9"/>
    </w:pPr>
    <w:rPr>
      <w:rFonts w:ascii="宋体" w:eastAsia="宋体"/>
    </w:rPr>
  </w:style>
  <w:style w:type="paragraph" w:customStyle="1" w:styleId="209">
    <w:name w:val="标准文件_附录五级条标题"/>
    <w:next w:val="37"/>
    <w:qFormat/>
    <w:uiPriority w:val="0"/>
    <w:pPr>
      <w:widowControl w:val="0"/>
      <w:numPr>
        <w:ilvl w:val="5"/>
        <w:numId w:val="3"/>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210">
    <w:name w:val="标准文件_一级项"/>
    <w:qFormat/>
    <w:uiPriority w:val="0"/>
    <w:pPr>
      <w:numPr>
        <w:ilvl w:val="0"/>
        <w:numId w:val="15"/>
      </w:numPr>
    </w:pPr>
    <w:rPr>
      <w:rFonts w:ascii="宋体" w:hAnsi="Times New Roman" w:eastAsia="宋体" w:cs="Times New Roman"/>
      <w:sz w:val="21"/>
      <w:lang w:val="en-US" w:eastAsia="zh-CN" w:bidi="ar-SA"/>
    </w:rPr>
  </w:style>
  <w:style w:type="paragraph" w:customStyle="1" w:styleId="211">
    <w:name w:val="标准文件_引言一级无标题"/>
    <w:basedOn w:val="168"/>
    <w:next w:val="37"/>
    <w:qFormat/>
    <w:uiPriority w:val="0"/>
    <w:pPr>
      <w:spacing w:before="0" w:beforeLines="0" w:after="0" w:afterLines="0" w:line="276" w:lineRule="auto"/>
    </w:pPr>
    <w:rPr>
      <w:rFonts w:ascii="宋体" w:eastAsia="宋体"/>
    </w:rPr>
  </w:style>
  <w:style w:type="paragraph" w:customStyle="1" w:styleId="212">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213">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21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215">
    <w:name w:val="二级无标题条"/>
    <w:basedOn w:val="1"/>
    <w:uiPriority w:val="0"/>
    <w:pPr>
      <w:numPr>
        <w:ilvl w:val="3"/>
        <w:numId w:val="18"/>
      </w:numPr>
      <w:adjustRightInd/>
      <w:spacing w:line="240" w:lineRule="auto"/>
    </w:pPr>
    <w:rPr>
      <w:rFonts w:ascii="宋体" w:hAnsi="宋体"/>
      <w:szCs w:val="24"/>
    </w:rPr>
  </w:style>
  <w:style w:type="paragraph" w:customStyle="1" w:styleId="216">
    <w:name w:val="标准文件_ICS"/>
    <w:basedOn w:val="1"/>
    <w:uiPriority w:val="0"/>
    <w:pPr>
      <w:spacing w:line="0" w:lineRule="atLeast"/>
    </w:pPr>
    <w:rPr>
      <w:rFonts w:ascii="黑体" w:hAnsi="宋体" w:eastAsia="黑体"/>
    </w:rPr>
  </w:style>
  <w:style w:type="character" w:customStyle="1" w:styleId="217">
    <w:name w:val="Header Char"/>
    <w:link w:val="18"/>
    <w:qFormat/>
    <w:uiPriority w:val="99"/>
    <w:rPr>
      <w:rFonts w:ascii="Times New Roman" w:hAnsi="Times New Roman" w:eastAsia="宋体" w:cs="Times New Roman"/>
      <w:sz w:val="18"/>
      <w:szCs w:val="18"/>
    </w:rPr>
  </w:style>
  <w:style w:type="paragraph" w:customStyle="1" w:styleId="218">
    <w:name w:val="标准文件_正文表标题"/>
    <w:next w:val="37"/>
    <w:qFormat/>
    <w:uiPriority w:val="0"/>
    <w:pPr>
      <w:numPr>
        <w:ilvl w:val="0"/>
        <w:numId w:val="29"/>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219">
    <w:name w:val="标准文件_封面标准英文名称"/>
    <w:basedOn w:val="1"/>
    <w:qFormat/>
    <w:uiPriority w:val="0"/>
    <w:pPr>
      <w:spacing w:line="240" w:lineRule="auto"/>
      <w:jc w:val="center"/>
    </w:pPr>
    <w:rPr>
      <w:rFonts w:ascii="黑体" w:eastAsia="黑体"/>
      <w:b/>
      <w:sz w:val="28"/>
    </w:rPr>
  </w:style>
  <w:style w:type="paragraph" w:customStyle="1" w:styleId="220">
    <w:name w:val="标准文件_附录图标号"/>
    <w:basedOn w:val="37"/>
    <w:next w:val="37"/>
    <w:qFormat/>
    <w:uiPriority w:val="0"/>
    <w:pPr>
      <w:numPr>
        <w:ilvl w:val="0"/>
        <w:numId w:val="25"/>
      </w:numPr>
      <w:spacing w:line="14" w:lineRule="exact"/>
      <w:ind w:firstLine="0" w:firstLineChars="0"/>
      <w:jc w:val="center"/>
    </w:pPr>
    <w:rPr>
      <w:rFonts w:ascii="黑体" w:hAnsi="黑体" w:eastAsia="黑体"/>
      <w:vanish/>
      <w:sz w:val="2"/>
      <w:szCs w:val="21"/>
    </w:rPr>
  </w:style>
  <w:style w:type="paragraph" w:customStyle="1" w:styleId="221">
    <w:name w:val="图表脚注说明"/>
    <w:basedOn w:val="1"/>
    <w:next w:val="37"/>
    <w:qFormat/>
    <w:uiPriority w:val="0"/>
    <w:pPr>
      <w:numPr>
        <w:ilvl w:val="0"/>
        <w:numId w:val="30"/>
      </w:numPr>
      <w:adjustRightInd/>
      <w:spacing w:line="240" w:lineRule="auto"/>
      <w:ind w:left="783"/>
    </w:pPr>
    <w:rPr>
      <w:rFonts w:ascii="宋体" w:hAnsi="Times New Roman"/>
      <w:sz w:val="18"/>
      <w:szCs w:val="18"/>
    </w:rPr>
  </w:style>
  <w:style w:type="paragraph" w:customStyle="1" w:styleId="222">
    <w:name w:val="三级无标题条"/>
    <w:basedOn w:val="1"/>
    <w:uiPriority w:val="0"/>
    <w:pPr>
      <w:numPr>
        <w:ilvl w:val="4"/>
        <w:numId w:val="18"/>
      </w:numPr>
      <w:adjustRightInd/>
      <w:spacing w:line="240" w:lineRule="auto"/>
    </w:pPr>
    <w:rPr>
      <w:rFonts w:ascii="宋体" w:hAnsi="宋体"/>
      <w:szCs w:val="24"/>
    </w:rPr>
  </w:style>
  <w:style w:type="character" w:customStyle="1" w:styleId="223">
    <w:name w:val="个人撰写风格"/>
    <w:qFormat/>
    <w:uiPriority w:val="0"/>
    <w:rPr>
      <w:rFonts w:ascii="Arial" w:hAnsi="Arial" w:eastAsia="宋体" w:cs="Arial"/>
      <w:color w:val="auto"/>
      <w:spacing w:val="0"/>
      <w:sz w:val="20"/>
    </w:rPr>
  </w:style>
  <w:style w:type="paragraph" w:customStyle="1" w:styleId="224">
    <w:name w:val="标准文件_封面标准编号"/>
    <w:basedOn w:val="1"/>
    <w:next w:val="162"/>
    <w:qFormat/>
    <w:uiPriority w:val="0"/>
    <w:pPr>
      <w:spacing w:line="310" w:lineRule="exact"/>
      <w:jc w:val="right"/>
    </w:pPr>
    <w:rPr>
      <w:rFonts w:ascii="黑体" w:eastAsia="黑体"/>
      <w:kern w:val="0"/>
      <w:sz w:val="28"/>
    </w:rPr>
  </w:style>
  <w:style w:type="character" w:customStyle="1" w:styleId="225">
    <w:name w:val="Heading 8 Char"/>
    <w:link w:val="9"/>
    <w:qFormat/>
    <w:uiPriority w:val="0"/>
    <w:rPr>
      <w:rFonts w:ascii="Arial" w:hAnsi="Arial" w:eastAsia="黑体" w:cs="Times New Roman"/>
      <w:sz w:val="24"/>
      <w:szCs w:val="24"/>
    </w:rPr>
  </w:style>
  <w:style w:type="paragraph" w:customStyle="1" w:styleId="226">
    <w:name w:val="标准文件_示例后"/>
    <w:basedOn w:val="37"/>
    <w:qFormat/>
    <w:uiPriority w:val="0"/>
    <w:pPr>
      <w:ind w:left="964" w:firstLine="0" w:firstLineChars="0"/>
    </w:pPr>
    <w:rPr>
      <w:sz w:val="18"/>
    </w:rPr>
  </w:style>
  <w:style w:type="paragraph" w:customStyle="1" w:styleId="227">
    <w:name w:val="标准文件_正文公式"/>
    <w:basedOn w:val="1"/>
    <w:next w:val="108"/>
    <w:qFormat/>
    <w:uiPriority w:val="0"/>
    <w:pPr>
      <w:tabs>
        <w:tab w:val="center" w:pos="4678"/>
        <w:tab w:val="right" w:leader="middleDot" w:pos="9356"/>
      </w:tabs>
      <w:spacing w:line="240" w:lineRule="auto"/>
    </w:pPr>
    <w:rPr>
      <w:rFonts w:ascii="宋体" w:hAnsi="宋体"/>
    </w:rPr>
  </w:style>
  <w:style w:type="paragraph" w:customStyle="1" w:styleId="228">
    <w:name w:val="标准文件_正文图标题"/>
    <w:next w:val="37"/>
    <w:qFormat/>
    <w:uiPriority w:val="0"/>
    <w:pPr>
      <w:numPr>
        <w:ilvl w:val="0"/>
        <w:numId w:val="31"/>
      </w:numPr>
      <w:spacing w:before="50" w:beforeLines="50" w:after="50" w:afterLines="50"/>
      <w:jc w:val="center"/>
    </w:pPr>
    <w:rPr>
      <w:rFonts w:ascii="黑体" w:hAnsi="Times New Roman" w:eastAsia="黑体" w:cs="Times New Roman"/>
      <w:sz w:val="21"/>
      <w:lang w:val="en-US" w:eastAsia="zh-CN" w:bidi="ar-SA"/>
    </w:rPr>
  </w:style>
  <w:style w:type="paragraph" w:customStyle="1" w:styleId="229">
    <w:name w:val="目录 91"/>
    <w:basedOn w:val="135"/>
    <w:semiHidden/>
    <w:qFormat/>
    <w:uiPriority w:val="0"/>
    <w:pPr>
      <w:ind w:left="1680"/>
    </w:pPr>
  </w:style>
  <w:style w:type="character" w:customStyle="1" w:styleId="230">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4106</Words>
  <Characters>4916</Characters>
  <Lines>46</Lines>
  <Paragraphs>12</Paragraphs>
  <TotalTime>0</TotalTime>
  <ScaleCrop>false</ScaleCrop>
  <LinksUpToDate>false</LinksUpToDate>
  <CharactersWithSpaces>5138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2026-10-19T07:09:00Z</dcterms:created>
  <dc:creator>l</dc:creator>
  <cp:lastModifiedBy>Sheldon Wang</cp:lastModifiedBy>
  <dcterms:modified xsi:type="dcterms:W3CDTF">2026-10-19T07:10:49Z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C:\Program Files (x86)\StandardEditorForWPS\/template/团体标准.wpt</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2052-12.1.0.29161</vt:lpwstr>
  </property>
  <property fmtid="{D5CDD505-2E9C-101B-9397-08002B2CF9AE}" pid="15" name="ICV">
    <vt:lpwstr>E3C564B67BB64AFCA0863541F06B7E10_13</vt:lpwstr>
  </property>
  <property fmtid="{D5CDD505-2E9C-101B-9397-08002B2CF9AE}" pid="16" name="KSOTemplateDocerSaveRecord">
    <vt:lpwstr>eyJoZGlkIjoiZTA1ODlkMTYxMzAzZWFiNGI2ZWEzNGY2ZGU0ZGI4ODQiLCJ1c2VySWQiOiI3NDY5NzU3MTAifQ==</vt:lpwstr>
  </property>
</Properties>
</file>