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119CE1">
      <w:pPr>
        <w:spacing w:line="360" w:lineRule="auto"/>
        <w:jc w:val="both"/>
        <w:outlineLvl w:val="9"/>
        <w:rPr>
          <w:rFonts w:hint="eastAsia" w:ascii="Times New Roman" w:hAnsi="Times New Roman" w:eastAsia="宋体" w:cs="Times New Roman"/>
          <w:b/>
          <w:sz w:val="48"/>
          <w:szCs w:val="48"/>
        </w:rPr>
      </w:pPr>
    </w:p>
    <w:p w14:paraId="5A2600A6">
      <w:pPr>
        <w:spacing w:line="360" w:lineRule="auto"/>
        <w:jc w:val="both"/>
        <w:rPr>
          <w:rFonts w:hint="eastAsia" w:ascii="Times New Roman" w:hAnsi="Times New Roman" w:eastAsia="宋体" w:cs="Times New Roman"/>
          <w:b/>
          <w:sz w:val="48"/>
          <w:szCs w:val="48"/>
        </w:rPr>
      </w:pPr>
    </w:p>
    <w:sdt>
      <w:sdtPr>
        <w:rPr>
          <w:rFonts w:hint="eastAsia" w:ascii="方正小标宋简体" w:hAnsi="方正小标宋简体" w:eastAsia="方正小标宋简体" w:cs="方正小标宋简体"/>
          <w:b/>
          <w:bCs/>
          <w:color w:val="auto"/>
          <w:kern w:val="2"/>
          <w:sz w:val="24"/>
          <w:szCs w:val="24"/>
          <w:lang w:val="en-US" w:eastAsia="zh-CN" w:bidi="ar-SA"/>
        </w:rPr>
        <w:id w:val="147479083"/>
        <w:placeholder>
          <w:docPart w:val="{316ccba9-6d93-4ba1-9225-2edc75ce8157}"/>
        </w:placeholder>
        <w:dataBinding w:prefixMappings="xmlns:ns0='http://purl.org/dc/elements/1.1/' xmlns:ns1='http://schemas.openxmlformats.org/package/2006/metadata/core-properties' " w:xpath="/ns1:coreProperties[1]/ns0:title[1]" w:storeItemID="{6C3C8BC8-F283-45AE-878A-BAB7291924A1}"/>
        <w:text/>
      </w:sdtPr>
      <w:sdtEndPr>
        <w:rPr>
          <w:rFonts w:hint="eastAsia" w:ascii="方正小标宋简体" w:hAnsi="方正小标宋简体" w:eastAsia="方正小标宋简体" w:cs="方正小标宋简体"/>
          <w:b/>
          <w:bCs/>
          <w:snapToGrid w:val="0"/>
          <w:color w:val="auto"/>
          <w:kern w:val="2"/>
          <w:sz w:val="72"/>
          <w:szCs w:val="72"/>
          <w:lang w:val="en-US" w:eastAsia="zh-CN" w:bidi="ar-SA"/>
          <w14:ligatures w14:val="none"/>
        </w:rPr>
      </w:sdtEndPr>
      <w:sdtContent>
        <w:p w14:paraId="5FA15551">
          <w:pPr>
            <w:spacing w:line="360" w:lineRule="auto"/>
            <w:jc w:val="center"/>
            <w:rPr>
              <w:rFonts w:hint="eastAsia" w:ascii="方正小标宋简体" w:hAnsi="方正小标宋简体" w:eastAsia="方正小标宋简体" w:cs="方正小标宋简体"/>
              <w:b/>
              <w:bCs/>
              <w:snapToGrid w:val="0"/>
              <w:color w:val="auto"/>
              <w:kern w:val="2"/>
              <w:sz w:val="72"/>
              <w:szCs w:val="72"/>
              <w:lang w:val="en-US" w:eastAsia="zh-CN" w:bidi="ar-SA"/>
              <w14:ligatures w14:val="none"/>
            </w:rPr>
          </w:pPr>
          <w:r>
            <w:rPr>
              <w:rFonts w:hint="eastAsia" w:ascii="方正小标宋简体" w:hAnsi="方正小标宋简体" w:eastAsia="方正小标宋简体" w:cs="方正小标宋简体"/>
              <w:b/>
              <w:bCs/>
              <w:snapToGrid w:val="0"/>
              <w:color w:val="auto"/>
              <w:kern w:val="2"/>
              <w:sz w:val="72"/>
              <w:szCs w:val="72"/>
              <w:lang w:val="en-US" w:eastAsia="zh-CN" w:bidi="ar-SA"/>
              <w14:ligatures w14:val="none"/>
            </w:rPr>
            <w:t>中国植物学会</w:t>
          </w:r>
        </w:p>
      </w:sdtContent>
    </w:sdt>
    <w:p w14:paraId="0C5B8A79">
      <w:pPr>
        <w:pStyle w:val="21"/>
        <w:keepNext w:val="0"/>
        <w:keepLines w:val="0"/>
        <w:widowControl/>
        <w:suppressLineNumbers w:val="0"/>
      </w:pPr>
      <w:r>
        <w:drawing>
          <wp:anchor distT="0" distB="0" distL="114300" distR="114300" simplePos="0" relativeHeight="251659264" behindDoc="0" locked="0" layoutInCell="1" allowOverlap="1">
            <wp:simplePos x="0" y="0"/>
            <wp:positionH relativeFrom="column">
              <wp:posOffset>1569085</wp:posOffset>
            </wp:positionH>
            <wp:positionV relativeFrom="paragraph">
              <wp:posOffset>453390</wp:posOffset>
            </wp:positionV>
            <wp:extent cx="2113280" cy="2113280"/>
            <wp:effectExtent l="0" t="0" r="1270" b="127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2113280" cy="2113280"/>
                    </a:xfrm>
                    <a:prstGeom prst="rect">
                      <a:avLst/>
                    </a:prstGeom>
                    <a:noFill/>
                    <a:ln w="9525">
                      <a:noFill/>
                    </a:ln>
                  </pic:spPr>
                </pic:pic>
              </a:graphicData>
            </a:graphic>
          </wp:anchor>
        </w:drawing>
      </w:r>
    </w:p>
    <w:p w14:paraId="01D5143E">
      <w:pPr>
        <w:spacing w:line="360" w:lineRule="auto"/>
        <w:jc w:val="both"/>
        <w:rPr>
          <w:rFonts w:hint="eastAsia" w:ascii="宋体" w:hAnsi="宋体" w:eastAsia="宋体" w:cs="宋体"/>
          <w:b/>
          <w:bCs/>
          <w:color w:val="auto"/>
          <w:kern w:val="2"/>
          <w:sz w:val="72"/>
          <w:szCs w:val="72"/>
          <w:lang w:val="en-US" w:eastAsia="zh-CN" w:bidi="ar-SA"/>
        </w:rPr>
      </w:pPr>
    </w:p>
    <w:p w14:paraId="6446F04C">
      <w:pPr>
        <w:spacing w:line="360" w:lineRule="auto"/>
        <w:jc w:val="both"/>
        <w:rPr>
          <w:rFonts w:hint="eastAsia" w:ascii="宋体" w:hAnsi="宋体" w:eastAsia="宋体" w:cs="宋体"/>
          <w:b/>
          <w:bCs/>
          <w:color w:val="auto"/>
          <w:kern w:val="2"/>
          <w:sz w:val="72"/>
          <w:szCs w:val="72"/>
          <w:lang w:val="en-US" w:eastAsia="zh-CN" w:bidi="ar-SA"/>
        </w:rPr>
      </w:pPr>
    </w:p>
    <w:p w14:paraId="55720C9D">
      <w:pPr>
        <w:widowControl/>
        <w:kinsoku w:val="0"/>
        <w:autoSpaceDE w:val="0"/>
        <w:autoSpaceDN w:val="0"/>
        <w:adjustRightInd w:val="0"/>
        <w:snapToGrid w:val="0"/>
        <w:spacing w:line="240" w:lineRule="auto"/>
        <w:jc w:val="both"/>
        <w:textAlignment w:val="baseline"/>
        <w:rPr>
          <w:rFonts w:hint="eastAsia" w:ascii="Times New Roman" w:hAnsi="Times New Roman" w:eastAsia="宋体" w:cs="Times New Roman"/>
          <w:b/>
          <w:bCs/>
          <w:snapToGrid w:val="0"/>
          <w:color w:val="auto"/>
          <w:kern w:val="2"/>
          <w:sz w:val="48"/>
          <w:szCs w:val="48"/>
          <w:lang w:val="en-US" w:eastAsia="zh-CN" w:bidi="ar-SA"/>
          <w14:ligatures w14:val="none"/>
        </w:rPr>
      </w:pPr>
      <w:r>
        <w:rPr>
          <w:rFonts w:hint="eastAsia" w:ascii="Times New Roman" w:hAnsi="Times New Roman" w:eastAsia="宋体" w:cs="Times New Roman"/>
          <w:b/>
          <w:bCs/>
          <w:snapToGrid w:val="0"/>
          <w:color w:val="auto"/>
          <w:kern w:val="2"/>
          <w:sz w:val="48"/>
          <w:szCs w:val="48"/>
          <w:lang w:val="en-US" w:eastAsia="zh-CN" w:bidi="ar-SA"/>
          <w14:ligatures w14:val="none"/>
        </w:rPr>
        <w:t>《中重度盐碱地田菁高产栽培技术规范》</w:t>
      </w:r>
    </w:p>
    <w:p w14:paraId="5A50EA85">
      <w:pPr>
        <w:widowControl/>
        <w:kinsoku w:val="0"/>
        <w:autoSpaceDE w:val="0"/>
        <w:autoSpaceDN w:val="0"/>
        <w:adjustRightInd w:val="0"/>
        <w:snapToGrid w:val="0"/>
        <w:spacing w:line="240" w:lineRule="auto"/>
        <w:jc w:val="center"/>
        <w:textAlignment w:val="baseline"/>
        <w:rPr>
          <w:rFonts w:hint="default" w:ascii="Times New Roman" w:hAnsi="Times New Roman" w:eastAsia="宋体" w:cs="Times New Roman"/>
          <w:b/>
          <w:bCs/>
          <w:snapToGrid w:val="0"/>
          <w:color w:val="auto"/>
          <w:kern w:val="2"/>
          <w:sz w:val="48"/>
          <w:szCs w:val="48"/>
          <w:lang w:val="en-US" w:eastAsia="zh-CN" w:bidi="ar-SA"/>
          <w14:ligatures w14:val="none"/>
        </w:rPr>
      </w:pPr>
    </w:p>
    <w:p w14:paraId="2412648E">
      <w:pPr>
        <w:widowControl/>
        <w:kinsoku w:val="0"/>
        <w:autoSpaceDE w:val="0"/>
        <w:autoSpaceDN w:val="0"/>
        <w:adjustRightInd w:val="0"/>
        <w:snapToGrid w:val="0"/>
        <w:spacing w:line="240" w:lineRule="auto"/>
        <w:jc w:val="center"/>
        <w:textAlignment w:val="baseline"/>
        <w:outlineLvl w:val="0"/>
        <w:rPr>
          <w:rFonts w:ascii="Times New Roman" w:hAnsi="Times New Roman" w:eastAsia="宋体" w:cs="Times New Roman"/>
          <w:b/>
          <w:sz w:val="24"/>
          <w:szCs w:val="24"/>
        </w:rPr>
      </w:pPr>
      <w:bookmarkStart w:id="0" w:name="_Toc6269"/>
      <w:r>
        <w:rPr>
          <w:rFonts w:hint="default" w:ascii="Times New Roman" w:hAnsi="Times New Roman" w:eastAsia="宋体" w:cs="Times New Roman"/>
          <w:b/>
          <w:bCs/>
          <w:snapToGrid w:val="0"/>
          <w:color w:val="auto"/>
          <w:kern w:val="2"/>
          <w:sz w:val="48"/>
          <w:szCs w:val="48"/>
          <w:lang w:val="en-US" w:eastAsia="zh-CN" w:bidi="ar-SA"/>
          <w14:ligatures w14:val="none"/>
        </w:rPr>
        <w:t>团体标准</w:t>
      </w:r>
      <w:r>
        <w:rPr>
          <w:rFonts w:hint="eastAsia" w:ascii="Times New Roman" w:hAnsi="Times New Roman" w:eastAsia="宋体" w:cs="Times New Roman"/>
          <w:b/>
          <w:bCs/>
          <w:snapToGrid w:val="0"/>
          <w:color w:val="auto"/>
          <w:kern w:val="2"/>
          <w:sz w:val="48"/>
          <w:szCs w:val="48"/>
          <w:lang w:val="en-US" w:eastAsia="zh-CN" w:bidi="ar-SA"/>
          <w14:ligatures w14:val="none"/>
        </w:rPr>
        <w:t>编制说明</w:t>
      </w:r>
      <w:bookmarkEnd w:id="0"/>
    </w:p>
    <w:p w14:paraId="70A85295">
      <w:pPr>
        <w:spacing w:line="360" w:lineRule="auto"/>
        <w:ind w:firstLine="482" w:firstLineChars="200"/>
        <w:jc w:val="center"/>
        <w:rPr>
          <w:rFonts w:ascii="Times New Roman" w:hAnsi="Times New Roman" w:eastAsia="宋体" w:cs="Times New Roman"/>
          <w:b/>
          <w:sz w:val="24"/>
          <w:szCs w:val="24"/>
        </w:rPr>
      </w:pPr>
    </w:p>
    <w:p w14:paraId="76475806">
      <w:pPr>
        <w:spacing w:line="360" w:lineRule="auto"/>
        <w:jc w:val="both"/>
        <w:rPr>
          <w:rFonts w:ascii="Times New Roman" w:hAnsi="Times New Roman" w:eastAsia="宋体" w:cs="Times New Roman"/>
          <w:b/>
          <w:sz w:val="24"/>
          <w:szCs w:val="24"/>
        </w:rPr>
      </w:pPr>
    </w:p>
    <w:p w14:paraId="0C70E051">
      <w:pPr>
        <w:spacing w:line="360" w:lineRule="auto"/>
        <w:ind w:firstLine="482" w:firstLineChars="200"/>
        <w:jc w:val="center"/>
        <w:rPr>
          <w:rFonts w:ascii="Times New Roman" w:hAnsi="Times New Roman" w:eastAsia="宋体" w:cs="Times New Roman"/>
          <w:b/>
          <w:sz w:val="24"/>
          <w:szCs w:val="24"/>
        </w:rPr>
      </w:pPr>
    </w:p>
    <w:p w14:paraId="615A3EFE">
      <w:pPr>
        <w:spacing w:line="360" w:lineRule="auto"/>
        <w:ind w:firstLine="482" w:firstLineChars="200"/>
        <w:jc w:val="center"/>
        <w:rPr>
          <w:rFonts w:ascii="Times New Roman" w:hAnsi="Times New Roman" w:eastAsia="宋体" w:cs="Times New Roman"/>
          <w:b/>
          <w:sz w:val="24"/>
          <w:szCs w:val="24"/>
        </w:rPr>
      </w:pPr>
    </w:p>
    <w:p w14:paraId="0D68A961">
      <w:pPr>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36"/>
          <w:szCs w:val="36"/>
          <w:lang w:val="en-US" w:eastAsia="zh-CN" w:bidi="ar-SA"/>
        </w:rPr>
      </w:pPr>
    </w:p>
    <w:p w14:paraId="1D912DB2">
      <w:pPr>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36"/>
          <w:szCs w:val="36"/>
          <w:lang w:val="en-US" w:eastAsia="zh-CN" w:bidi="ar-SA"/>
        </w:rPr>
      </w:pPr>
    </w:p>
    <w:p w14:paraId="2FEE9486">
      <w:pPr>
        <w:kinsoku w:val="0"/>
        <w:autoSpaceDE w:val="0"/>
        <w:autoSpaceDN w:val="0"/>
        <w:adjustRightInd w:val="0"/>
        <w:snapToGrid w:val="0"/>
        <w:spacing w:line="240" w:lineRule="auto"/>
        <w:jc w:val="center"/>
        <w:textAlignment w:val="baseline"/>
        <w:rPr>
          <w:rFonts w:hint="default" w:ascii="宋体" w:hAnsi="宋体" w:eastAsia="宋体" w:cs="宋体"/>
          <w:b/>
          <w:bCs/>
          <w:snapToGrid w:val="0"/>
          <w:color w:val="auto"/>
          <w:kern w:val="0"/>
          <w:sz w:val="36"/>
          <w:szCs w:val="36"/>
          <w:lang w:val="en-US" w:eastAsia="zh-CN" w:bidi="ar-SA"/>
        </w:rPr>
      </w:pPr>
      <w:r>
        <w:rPr>
          <w:rFonts w:hint="eastAsia" w:ascii="宋体" w:hAnsi="宋体" w:eastAsia="宋体" w:cs="宋体"/>
          <w:b/>
          <w:bCs/>
          <w:snapToGrid w:val="0"/>
          <w:color w:val="auto"/>
          <w:kern w:val="0"/>
          <w:sz w:val="36"/>
          <w:szCs w:val="36"/>
          <w:lang w:val="en-US" w:eastAsia="zh-CN" w:bidi="ar-SA"/>
        </w:rPr>
        <w:t>2026年10月</w:t>
      </w:r>
    </w:p>
    <w:p w14:paraId="2511601B">
      <w:pPr>
        <w:spacing w:line="360" w:lineRule="auto"/>
        <w:ind w:firstLine="482" w:firstLineChars="200"/>
        <w:jc w:val="center"/>
        <w:rPr>
          <w:rFonts w:ascii="Times New Roman" w:hAnsi="Times New Roman" w:eastAsia="宋体" w:cs="Times New Roman"/>
          <w:b/>
          <w:sz w:val="24"/>
          <w:szCs w:val="24"/>
        </w:rPr>
        <w:sectPr>
          <w:pgSz w:w="11906" w:h="16838"/>
          <w:pgMar w:top="1440" w:right="1800" w:bottom="1440" w:left="1800" w:header="851" w:footer="992" w:gutter="0"/>
          <w:cols w:space="425" w:num="1"/>
          <w:docGrid w:type="lines" w:linePitch="312" w:charSpace="0"/>
        </w:sectPr>
      </w:pPr>
    </w:p>
    <w:sdt>
      <w:sdtPr>
        <w:rPr>
          <w:rFonts w:ascii="宋体" w:hAnsi="宋体" w:eastAsia="宋体" w:cstheme="minorBidi"/>
          <w:kern w:val="2"/>
          <w:sz w:val="40"/>
          <w:szCs w:val="40"/>
          <w:lang w:val="en-US" w:eastAsia="zh-CN" w:bidi="ar-SA"/>
          <w14:ligatures w14:val="standardContextual"/>
        </w:rPr>
        <w:id w:val="147465686"/>
        <w15:color w:val="DBDBDB"/>
        <w:docPartObj>
          <w:docPartGallery w:val="Table of Contents"/>
          <w:docPartUnique/>
        </w:docPartObj>
      </w:sdtPr>
      <w:sdtEndPr>
        <w:rPr>
          <w:rFonts w:hint="default" w:ascii="Times New Roman" w:hAnsi="Times New Roman" w:eastAsia="宋体" w:cs="Times New Roman"/>
          <w:bCs/>
          <w:kern w:val="44"/>
          <w:sz w:val="24"/>
          <w:szCs w:val="52"/>
          <w:lang w:val="en-US" w:eastAsia="zh-CN" w:bidi="ar-SA"/>
          <w14:ligatures w14:val="standardContextual"/>
        </w:rPr>
      </w:sdtEndPr>
      <w:sdtContent>
        <w:p w14:paraId="7051BFD0">
          <w:pPr>
            <w:spacing w:before="0" w:beforeLines="0" w:after="0" w:afterLines="0" w:line="240" w:lineRule="auto"/>
            <w:ind w:left="0" w:leftChars="0" w:right="0" w:rightChars="0" w:firstLine="0" w:firstLineChars="0"/>
            <w:jc w:val="center"/>
            <w:rPr>
              <w:rFonts w:ascii="宋体" w:hAnsi="宋体" w:eastAsia="宋体"/>
              <w:sz w:val="40"/>
              <w:szCs w:val="40"/>
            </w:rPr>
          </w:pPr>
          <w:r>
            <w:rPr>
              <w:rFonts w:ascii="宋体" w:hAnsi="宋体" w:eastAsia="宋体"/>
              <w:sz w:val="40"/>
              <w:szCs w:val="40"/>
            </w:rPr>
            <w:t>目</w:t>
          </w:r>
          <w:r>
            <w:rPr>
              <w:rFonts w:hint="eastAsia" w:ascii="宋体" w:hAnsi="宋体" w:eastAsia="宋体"/>
              <w:sz w:val="40"/>
              <w:szCs w:val="40"/>
              <w:lang w:val="en-US" w:eastAsia="zh-CN"/>
            </w:rPr>
            <w:t xml:space="preserve"> </w:t>
          </w:r>
          <w:r>
            <w:rPr>
              <w:rFonts w:ascii="宋体" w:hAnsi="宋体" w:eastAsia="宋体"/>
              <w:sz w:val="40"/>
              <w:szCs w:val="40"/>
            </w:rPr>
            <w:t>录</w:t>
          </w:r>
        </w:p>
        <w:p w14:paraId="7649F2E4">
          <w:pPr>
            <w:spacing w:before="0" w:beforeLines="0" w:after="0" w:afterLines="0" w:line="240" w:lineRule="auto"/>
            <w:ind w:left="0" w:leftChars="0" w:right="0" w:rightChars="0" w:firstLine="0" w:firstLineChars="0"/>
            <w:jc w:val="center"/>
            <w:rPr>
              <w:rFonts w:ascii="宋体" w:hAnsi="宋体" w:eastAsia="宋体"/>
              <w:sz w:val="40"/>
              <w:szCs w:val="40"/>
            </w:rPr>
          </w:pPr>
        </w:p>
        <w:p w14:paraId="7589B69C">
          <w:pPr>
            <w:pStyle w:val="16"/>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TOC \o "1-2" \h \u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p>
        <w:p w14:paraId="7241B152">
          <w:pPr>
            <w:pStyle w:val="16"/>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_Toc2748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bCs/>
              <w:kern w:val="44"/>
              <w:sz w:val="24"/>
              <w:szCs w:val="52"/>
            </w:rPr>
            <w:t>一、 工作简况</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_Toc2748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1</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2E3DB963">
          <w:pPr>
            <w:pStyle w:val="20"/>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_Toc18173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snapToGrid w:val="0"/>
              <w:kern w:val="44"/>
              <w:sz w:val="24"/>
              <w:szCs w:val="32"/>
              <w:lang w:val="en-US" w:eastAsia="en-US" w:bidi="ar-SA"/>
              <w14:ligatures w14:val="none"/>
            </w:rPr>
            <w:t>（一） 任务来源</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_Toc18173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1</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6274343E">
          <w:pPr>
            <w:pStyle w:val="20"/>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_Toc23563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snapToGrid w:val="0"/>
              <w:kern w:val="44"/>
              <w:sz w:val="24"/>
              <w:szCs w:val="32"/>
              <w:lang w:val="en-US" w:eastAsia="zh-CN" w:bidi="ar-SA"/>
              <w14:ligatures w14:val="none"/>
            </w:rPr>
            <w:t>（二） 制定背景</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_Toc23563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1</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6CEAD688">
          <w:pPr>
            <w:pStyle w:val="20"/>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_Toc19291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snapToGrid w:val="0"/>
              <w:kern w:val="44"/>
              <w:sz w:val="24"/>
              <w:szCs w:val="32"/>
              <w:lang w:val="en-US" w:eastAsia="zh-CN" w:bidi="ar-SA"/>
              <w14:ligatures w14:val="none"/>
            </w:rPr>
            <w:t>（三） 产业化情况</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_Toc19291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1</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63390A6B">
          <w:pPr>
            <w:pStyle w:val="20"/>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_Toc3632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snapToGrid w:val="0"/>
              <w:kern w:val="44"/>
              <w:sz w:val="24"/>
              <w:szCs w:val="32"/>
              <w:lang w:val="en-US" w:eastAsia="zh-CN" w:bidi="ar-SA"/>
              <w14:ligatures w14:val="none"/>
            </w:rPr>
            <w:t>（四） 起草过程</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_Toc3632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2</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38241ABC">
          <w:pPr>
            <w:pStyle w:val="20"/>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_Toc32469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snapToGrid w:val="0"/>
              <w:kern w:val="44"/>
              <w:sz w:val="24"/>
              <w:szCs w:val="32"/>
              <w:lang w:val="en-US" w:eastAsia="zh-CN" w:bidi="ar-SA"/>
              <w14:ligatures w14:val="none"/>
            </w:rPr>
            <w:t>（五） 制标任务分工</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_Toc32469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3</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17A4DE61">
          <w:pPr>
            <w:pStyle w:val="16"/>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_Toc32554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bCs/>
              <w:kern w:val="44"/>
              <w:sz w:val="24"/>
              <w:szCs w:val="52"/>
            </w:rPr>
            <w:t>二、 标准编制原则、主要内容及其确定依据</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_Toc32554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4</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784CF1F2">
          <w:pPr>
            <w:pStyle w:val="20"/>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_Toc20045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snapToGrid w:val="0"/>
              <w:kern w:val="44"/>
              <w:sz w:val="24"/>
              <w:szCs w:val="32"/>
              <w:lang w:val="en-US" w:eastAsia="zh-CN" w:bidi="ar-SA"/>
              <w14:ligatures w14:val="none"/>
            </w:rPr>
            <w:t>（一） 编制原则</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_Toc20045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4</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4A9273BB">
          <w:pPr>
            <w:pStyle w:val="20"/>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_Toc23472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snapToGrid w:val="0"/>
              <w:kern w:val="44"/>
              <w:sz w:val="24"/>
              <w:szCs w:val="32"/>
              <w:lang w:val="en-US" w:eastAsia="zh-CN" w:bidi="ar-SA"/>
              <w14:ligatures w14:val="none"/>
            </w:rPr>
            <w:t>（二） 主要内容及确定依据</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_Toc23472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5</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0F90F6C7">
          <w:pPr>
            <w:pStyle w:val="16"/>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_Toc16784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bCs/>
              <w:kern w:val="44"/>
              <w:sz w:val="24"/>
              <w:szCs w:val="52"/>
              <w:lang w:val="en-US" w:eastAsia="zh-CN" w:bidi="ar-SA"/>
              <w14:ligatures w14:val="standardContextual"/>
            </w:rPr>
            <w:t>三、 主要试验验证的分析</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_Toc16784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5</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24D8569A">
          <w:pPr>
            <w:pStyle w:val="20"/>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_Toc10885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snapToGrid w:val="0"/>
              <w:kern w:val="44"/>
              <w:sz w:val="24"/>
              <w:szCs w:val="32"/>
              <w:lang w:val="en-US" w:eastAsia="zh-CN" w:bidi="ar-SA"/>
              <w14:ligatures w14:val="none"/>
            </w:rPr>
            <w:t>（一） 不同播种量对保苗率及产量的影响试验</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_Toc10885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5</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4702AC60">
          <w:pPr>
            <w:pStyle w:val="20"/>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_Toc4572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snapToGrid w:val="0"/>
              <w:kern w:val="44"/>
              <w:sz w:val="24"/>
              <w:szCs w:val="32"/>
              <w:lang w:val="en-US" w:eastAsia="zh-CN" w:bidi="ar-SA"/>
              <w14:ligatures w14:val="none"/>
            </w:rPr>
            <w:t>（二） 不同生育期灌溉量对植株长势及表土返盐影响试验</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_Toc4572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6</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1C728101">
          <w:pPr>
            <w:pStyle w:val="20"/>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_Toc24424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snapToGrid w:val="0"/>
              <w:kern w:val="44"/>
              <w:sz w:val="24"/>
              <w:szCs w:val="32"/>
              <w:lang w:val="en-US" w:eastAsia="zh-CN" w:bidi="ar-SA"/>
              <w14:ligatures w14:val="none"/>
            </w:rPr>
            <w:t>（三） 不同施肥量对植株长势影响试验</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_Toc24424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7</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754C9524">
          <w:pPr>
            <w:pStyle w:val="16"/>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_Toc6842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bCs/>
              <w:kern w:val="44"/>
              <w:sz w:val="24"/>
              <w:szCs w:val="52"/>
            </w:rPr>
            <w:t>四、 与国际、国外同类标准对比情况</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_Toc6842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8</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6A9B213F">
          <w:pPr>
            <w:pStyle w:val="16"/>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_Toc6525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bCs/>
              <w:kern w:val="44"/>
              <w:sz w:val="24"/>
              <w:szCs w:val="52"/>
            </w:rPr>
            <w:t>五、 以国际标准为基础的起草情况</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_Toc6525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8</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1D9AE07C">
          <w:pPr>
            <w:pStyle w:val="16"/>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_Toc8965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bCs/>
              <w:kern w:val="44"/>
              <w:sz w:val="24"/>
              <w:szCs w:val="52"/>
            </w:rPr>
            <w:t>六、 标准重大分歧意见的处理经过和依据</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_Toc8965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8</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776BCF9F">
          <w:pPr>
            <w:pStyle w:val="16"/>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_Toc26980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bCs/>
              <w:kern w:val="44"/>
              <w:sz w:val="24"/>
              <w:szCs w:val="52"/>
              <w:lang w:val="en-US" w:eastAsia="zh-CN"/>
            </w:rPr>
            <w:t>七、 与有关法律、行政法规及相关标准的关系</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_Toc26980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8</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15D0BFFE">
          <w:pPr>
            <w:pStyle w:val="16"/>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_Toc20493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bCs/>
              <w:kern w:val="44"/>
              <w:sz w:val="24"/>
              <w:szCs w:val="52"/>
              <w:lang w:val="en-US" w:eastAsia="zh-CN"/>
            </w:rPr>
            <w:t>八、 涉及专利的有关说明</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_Toc20493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8</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20D69881">
          <w:pPr>
            <w:pStyle w:val="16"/>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_Toc1715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bCs/>
              <w:kern w:val="44"/>
              <w:sz w:val="24"/>
              <w:szCs w:val="52"/>
              <w:lang w:val="en-US" w:eastAsia="zh-CN"/>
            </w:rPr>
            <w:t>九、 实施团体标准的要求及措施建议</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_Toc1715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8</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2C5DA64D">
          <w:pPr>
            <w:pStyle w:val="16"/>
            <w:tabs>
              <w:tab w:val="right" w:leader="dot" w:pos="8306"/>
            </w:tabs>
            <w:spacing w:line="240" w:lineRule="auto"/>
            <w:rPr>
              <w:rFonts w:hint="default" w:ascii="Times New Roman" w:hAnsi="Times New Roman" w:eastAsia="宋体" w:cs="Times New Roman"/>
              <w:sz w:val="24"/>
              <w:szCs w:val="28"/>
            </w:rPr>
          </w:pPr>
          <w:r>
            <w:rPr>
              <w:rFonts w:hint="default" w:ascii="Times New Roman" w:hAnsi="Times New Roman" w:eastAsia="宋体" w:cs="Times New Roman"/>
              <w:bCs/>
              <w:kern w:val="44"/>
              <w:sz w:val="24"/>
              <w:szCs w:val="52"/>
              <w:lang w:val="en-US" w:eastAsia="zh-CN" w:bidi="ar-SA"/>
              <w14:ligatures w14:val="standardContextual"/>
            </w:rPr>
            <w:fldChar w:fldCharType="begin"/>
          </w:r>
          <w:r>
            <w:rPr>
              <w:rFonts w:hint="default" w:ascii="Times New Roman" w:hAnsi="Times New Roman" w:eastAsia="宋体" w:cs="Times New Roman"/>
              <w:bCs/>
              <w:kern w:val="44"/>
              <w:sz w:val="24"/>
              <w:szCs w:val="52"/>
              <w:lang w:val="en-US" w:eastAsia="zh-CN" w:bidi="ar-SA"/>
              <w14:ligatures w14:val="standardContextual"/>
            </w:rPr>
            <w:instrText xml:space="preserve"> HYPERLINK \l _Toc6928 </w:instrText>
          </w:r>
          <w:r>
            <w:rPr>
              <w:rFonts w:hint="default" w:ascii="Times New Roman" w:hAnsi="Times New Roman" w:eastAsia="宋体" w:cs="Times New Roman"/>
              <w:bCs/>
              <w:kern w:val="44"/>
              <w:sz w:val="24"/>
              <w:szCs w:val="52"/>
              <w:lang w:val="en-US" w:eastAsia="zh-CN" w:bidi="ar-SA"/>
              <w14:ligatures w14:val="standardContextual"/>
            </w:rPr>
            <w:fldChar w:fldCharType="separate"/>
          </w:r>
          <w:r>
            <w:rPr>
              <w:rFonts w:hint="default" w:ascii="Times New Roman" w:hAnsi="Times New Roman" w:eastAsia="宋体" w:cs="Times New Roman"/>
              <w:bCs/>
              <w:kern w:val="44"/>
              <w:sz w:val="24"/>
              <w:szCs w:val="52"/>
              <w:lang w:val="en-US" w:eastAsia="zh-CN"/>
            </w:rPr>
            <w:t>十、 其他应予说明的事项</w:t>
          </w:r>
          <w:r>
            <w:rPr>
              <w:rFonts w:hint="default" w:ascii="Times New Roman" w:hAnsi="Times New Roman" w:eastAsia="宋体" w:cs="Times New Roman"/>
              <w:sz w:val="24"/>
              <w:szCs w:val="28"/>
            </w:rPr>
            <w:tab/>
          </w:r>
          <w:r>
            <w:rPr>
              <w:rFonts w:hint="default" w:ascii="Times New Roman" w:hAnsi="Times New Roman" w:eastAsia="宋体" w:cs="Times New Roman"/>
              <w:sz w:val="24"/>
              <w:szCs w:val="28"/>
            </w:rPr>
            <w:fldChar w:fldCharType="begin"/>
          </w:r>
          <w:r>
            <w:rPr>
              <w:rFonts w:hint="default" w:ascii="Times New Roman" w:hAnsi="Times New Roman" w:eastAsia="宋体" w:cs="Times New Roman"/>
              <w:sz w:val="24"/>
              <w:szCs w:val="28"/>
            </w:rPr>
            <w:instrText xml:space="preserve"> PAGEREF _Toc6928 \h </w:instrText>
          </w:r>
          <w:r>
            <w:rPr>
              <w:rFonts w:hint="default" w:ascii="Times New Roman" w:hAnsi="Times New Roman" w:eastAsia="宋体" w:cs="Times New Roman"/>
              <w:sz w:val="24"/>
              <w:szCs w:val="28"/>
            </w:rPr>
            <w:fldChar w:fldCharType="separate"/>
          </w:r>
          <w:r>
            <w:rPr>
              <w:rFonts w:hint="default" w:ascii="Times New Roman" w:hAnsi="Times New Roman" w:eastAsia="宋体" w:cs="Times New Roman"/>
              <w:sz w:val="24"/>
              <w:szCs w:val="28"/>
            </w:rPr>
            <w:t>9</w:t>
          </w:r>
          <w:r>
            <w:rPr>
              <w:rFonts w:hint="default" w:ascii="Times New Roman" w:hAnsi="Times New Roman" w:eastAsia="宋体" w:cs="Times New Roman"/>
              <w:sz w:val="24"/>
              <w:szCs w:val="28"/>
            </w:rPr>
            <w:fldChar w:fldCharType="end"/>
          </w:r>
          <w:r>
            <w:rPr>
              <w:rFonts w:hint="default" w:ascii="Times New Roman" w:hAnsi="Times New Roman" w:eastAsia="宋体" w:cs="Times New Roman"/>
              <w:bCs/>
              <w:kern w:val="44"/>
              <w:sz w:val="24"/>
              <w:szCs w:val="52"/>
              <w:lang w:val="en-US" w:eastAsia="zh-CN" w:bidi="ar-SA"/>
              <w14:ligatures w14:val="standardContextual"/>
            </w:rPr>
            <w:fldChar w:fldCharType="end"/>
          </w:r>
        </w:p>
        <w:p w14:paraId="17E94777">
          <w:pPr>
            <w:pStyle w:val="41"/>
            <w:widowControl w:val="0"/>
            <w:numPr>
              <w:ilvl w:val="0"/>
              <w:numId w:val="0"/>
            </w:numPr>
            <w:spacing w:line="240" w:lineRule="auto"/>
            <w:contextualSpacing/>
            <w:jc w:val="left"/>
            <w:outlineLvl w:val="9"/>
            <w:rPr>
              <w:rFonts w:hint="default" w:ascii="Times New Roman" w:hAnsi="Times New Roman" w:eastAsia="宋体" w:cs="Times New Roman"/>
              <w:bCs/>
              <w:kern w:val="44"/>
              <w:sz w:val="24"/>
              <w:szCs w:val="52"/>
              <w:lang w:val="en-US" w:eastAsia="zh-CN" w:bidi="ar-SA"/>
              <w14:ligatures w14:val="standardContextual"/>
            </w:rPr>
          </w:pPr>
          <w:r>
            <w:rPr>
              <w:rFonts w:hint="default" w:ascii="Times New Roman" w:hAnsi="Times New Roman" w:eastAsia="宋体" w:cs="Times New Roman"/>
              <w:bCs/>
              <w:kern w:val="44"/>
              <w:sz w:val="24"/>
              <w:szCs w:val="52"/>
              <w:lang w:val="en-US" w:eastAsia="zh-CN" w:bidi="ar-SA"/>
              <w14:ligatures w14:val="standardContextual"/>
            </w:rPr>
            <w:fldChar w:fldCharType="end"/>
          </w:r>
        </w:p>
      </w:sdtContent>
    </w:sdt>
    <w:p w14:paraId="4AE6B99F">
      <w:pPr>
        <w:pStyle w:val="41"/>
        <w:widowControl w:val="0"/>
        <w:numPr>
          <w:ilvl w:val="0"/>
          <w:numId w:val="0"/>
        </w:numPr>
        <w:spacing w:line="360" w:lineRule="auto"/>
        <w:contextualSpacing/>
        <w:jc w:val="left"/>
        <w:outlineLvl w:val="9"/>
        <w:rPr>
          <w:rFonts w:ascii="Times New Roman" w:hAnsi="Times New Roman" w:eastAsia="宋体" w:cs="Times New Roman"/>
          <w:b/>
          <w:bCs/>
          <w:kern w:val="44"/>
          <w:sz w:val="28"/>
          <w:szCs w:val="44"/>
        </w:rPr>
        <w:sectPr>
          <w:footerReference r:id="rId3" w:type="default"/>
          <w:pgSz w:w="11906" w:h="16838"/>
          <w:pgMar w:top="1440" w:right="1800" w:bottom="1440" w:left="1800" w:header="851" w:footer="992" w:gutter="0"/>
          <w:pgNumType w:start="1"/>
          <w:cols w:space="425" w:num="1"/>
          <w:docGrid w:type="lines" w:linePitch="312" w:charSpace="0"/>
        </w:sectPr>
      </w:pPr>
    </w:p>
    <w:p w14:paraId="4D566000">
      <w:pPr>
        <w:widowControl/>
        <w:kinsoku w:val="0"/>
        <w:autoSpaceDE w:val="0"/>
        <w:autoSpaceDN w:val="0"/>
        <w:adjustRightInd w:val="0"/>
        <w:snapToGrid w:val="0"/>
        <w:spacing w:line="240" w:lineRule="auto"/>
        <w:jc w:val="center"/>
        <w:textAlignment w:val="baseline"/>
        <w:outlineLvl w:val="0"/>
        <w:rPr>
          <w:rFonts w:hint="default" w:ascii="Arial" w:hAnsi="Arial" w:eastAsia="Arial" w:cs="Arial"/>
          <w:snapToGrid w:val="0"/>
          <w:color w:val="000000"/>
          <w:kern w:val="0"/>
          <w:sz w:val="36"/>
          <w:szCs w:val="36"/>
          <w:lang w:val="en-US" w:eastAsia="en-US"/>
          <w14:ligatures w14:val="none"/>
        </w:rPr>
      </w:pPr>
      <w:bookmarkStart w:id="1" w:name="_Toc25273"/>
      <w:r>
        <w:rPr>
          <w:rFonts w:hint="eastAsia" w:ascii="Arial" w:hAnsi="Arial" w:eastAsia="Arial" w:cs="Arial"/>
          <w:snapToGrid w:val="0"/>
          <w:color w:val="000000"/>
          <w:kern w:val="0"/>
          <w:sz w:val="36"/>
          <w:szCs w:val="36"/>
          <w:lang w:val="en-US" w:eastAsia="zh-CN"/>
          <w14:ligatures w14:val="none"/>
        </w:rPr>
        <w:t>《中重度盐碱地田菁高产栽培技术规范》</w:t>
      </w:r>
      <w:r>
        <w:rPr>
          <w:rFonts w:hint="default" w:ascii="Arial" w:hAnsi="Arial" w:eastAsia="Arial" w:cs="Arial"/>
          <w:snapToGrid w:val="0"/>
          <w:color w:val="000000"/>
          <w:kern w:val="0"/>
          <w:sz w:val="36"/>
          <w:szCs w:val="36"/>
          <w:lang w:val="en-US" w:eastAsia="zh-CN"/>
          <w14:ligatures w14:val="none"/>
        </w:rPr>
        <w:t>团体标准</w:t>
      </w:r>
      <w:r>
        <w:rPr>
          <w:rFonts w:hint="eastAsia" w:ascii="Arial" w:hAnsi="Arial" w:eastAsia="Arial" w:cs="Arial"/>
          <w:snapToGrid w:val="0"/>
          <w:color w:val="000000"/>
          <w:kern w:val="0"/>
          <w:sz w:val="36"/>
          <w:szCs w:val="36"/>
          <w:lang w:val="en-US" w:eastAsia="zh-CN"/>
          <w14:ligatures w14:val="none"/>
        </w:rPr>
        <w:t>编制说明</w:t>
      </w:r>
      <w:bookmarkEnd w:id="1"/>
    </w:p>
    <w:p w14:paraId="28032EB2">
      <w:pPr>
        <w:pStyle w:val="41"/>
        <w:numPr>
          <w:ilvl w:val="0"/>
          <w:numId w:val="0"/>
        </w:numPr>
        <w:spacing w:line="360" w:lineRule="auto"/>
        <w:ind w:leftChars="0"/>
        <w:jc w:val="left"/>
        <w:outlineLvl w:val="9"/>
        <w:rPr>
          <w:rFonts w:ascii="Times New Roman" w:hAnsi="Times New Roman" w:eastAsia="宋体" w:cs="Times New Roman"/>
          <w:b/>
          <w:bCs/>
          <w:kern w:val="44"/>
          <w:sz w:val="28"/>
          <w:szCs w:val="44"/>
        </w:rPr>
      </w:pPr>
    </w:p>
    <w:p w14:paraId="64C6B1B1">
      <w:pPr>
        <w:pStyle w:val="41"/>
        <w:numPr>
          <w:ilvl w:val="0"/>
          <w:numId w:val="2"/>
        </w:numPr>
        <w:spacing w:line="360" w:lineRule="auto"/>
        <w:ind w:left="0" w:leftChars="0" w:firstLine="420" w:firstLineChars="0"/>
        <w:jc w:val="left"/>
        <w:outlineLvl w:val="0"/>
        <w:rPr>
          <w:rFonts w:ascii="Times New Roman" w:hAnsi="Times New Roman" w:eastAsia="宋体" w:cs="Times New Roman"/>
          <w:b/>
          <w:bCs/>
          <w:kern w:val="44"/>
          <w:sz w:val="28"/>
          <w:szCs w:val="44"/>
        </w:rPr>
      </w:pPr>
      <w:bookmarkStart w:id="2" w:name="_Toc2748"/>
      <w:r>
        <w:rPr>
          <w:rFonts w:ascii="Times New Roman" w:hAnsi="Times New Roman" w:eastAsia="宋体" w:cs="Times New Roman"/>
          <w:b/>
          <w:bCs/>
          <w:kern w:val="44"/>
          <w:sz w:val="28"/>
          <w:szCs w:val="44"/>
        </w:rPr>
        <w:t>工作简况</w:t>
      </w:r>
      <w:bookmarkEnd w:id="2"/>
    </w:p>
    <w:p w14:paraId="359BCA96">
      <w:pPr>
        <w:numPr>
          <w:ilvl w:val="0"/>
          <w:numId w:val="3"/>
        </w:numPr>
        <w:spacing w:line="360" w:lineRule="auto"/>
        <w:ind w:left="0" w:leftChars="0" w:firstLine="420" w:firstLineChars="0"/>
        <w:jc w:val="left"/>
        <w:outlineLvl w:val="1"/>
        <w:rPr>
          <w:rFonts w:hint="eastAsia" w:ascii="方正仿宋_GB2312" w:hAnsi="方正仿宋_GB2312" w:eastAsia="方正仿宋_GB2312" w:cs="方正仿宋_GB2312"/>
          <w:b/>
          <w:snapToGrid w:val="0"/>
          <w:color w:val="000000"/>
          <w:kern w:val="44"/>
          <w:sz w:val="24"/>
          <w:szCs w:val="24"/>
          <w:lang w:val="en-US" w:eastAsia="en-US" w:bidi="ar-SA"/>
          <w14:ligatures w14:val="none"/>
        </w:rPr>
      </w:pPr>
      <w:bookmarkStart w:id="3" w:name="_Toc18173"/>
      <w:r>
        <w:rPr>
          <w:rFonts w:hint="eastAsia" w:ascii="方正仿宋_GB2312" w:hAnsi="方正仿宋_GB2312" w:eastAsia="方正仿宋_GB2312" w:cs="方正仿宋_GB2312"/>
          <w:b/>
          <w:snapToGrid w:val="0"/>
          <w:color w:val="000000"/>
          <w:kern w:val="44"/>
          <w:sz w:val="24"/>
          <w:szCs w:val="24"/>
          <w:lang w:val="en-US" w:eastAsia="en-US" w:bidi="ar-SA"/>
          <w14:ligatures w14:val="none"/>
        </w:rPr>
        <w:t>任务来源</w:t>
      </w:r>
      <w:bookmarkEnd w:id="3"/>
    </w:p>
    <w:p w14:paraId="60F5CFF3">
      <w:pPr>
        <w:spacing w:line="360" w:lineRule="auto"/>
        <w:ind w:firstLine="480" w:firstLineChars="200"/>
        <w:jc w:val="left"/>
        <w:rPr>
          <w:rFonts w:hint="default" w:ascii="Times New Roman" w:hAnsi="Times New Roman" w:eastAsia="仿宋_GB2312" w:cs="Times New Roman"/>
          <w:sz w:val="28"/>
          <w:szCs w:val="28"/>
          <w:lang w:val="en-US"/>
        </w:rPr>
      </w:pPr>
      <w:r>
        <w:rPr>
          <w:rFonts w:hint="eastAsia" w:ascii="Arial" w:hAnsi="Arial" w:eastAsia="Arial" w:cs="Arial"/>
          <w:b w:val="0"/>
          <w:snapToGrid w:val="0"/>
          <w:color w:val="000000"/>
          <w:kern w:val="0"/>
          <w:sz w:val="24"/>
          <w:szCs w:val="24"/>
          <w:lang w:val="en-US" w:eastAsia="zh-CN" w:bidi="ar-SA"/>
          <w14:ligatures w14:val="none"/>
        </w:rPr>
        <w:t>本标准是根据《团体标准管理规定》和《中国植物学会团体标准管理办法（试行）》有关要求制定，标准名称《中重度盐碱地田菁高产栽培技术规范》，计划完成时间为 2026 年。由通辽市农牧业科学院负责制定，中国植物学会负责技术归口。该计划项目由中国农业技术推广协会提出并归口。本文件的起草单位是通辽市农牧业科学院、中国科学院遗传与发育生物学研究所。</w:t>
      </w:r>
    </w:p>
    <w:p w14:paraId="483B700E">
      <w:pPr>
        <w:numPr>
          <w:ilvl w:val="0"/>
          <w:numId w:val="3"/>
        </w:numPr>
        <w:spacing w:line="360" w:lineRule="auto"/>
        <w:ind w:left="0" w:leftChars="0" w:firstLine="420" w:firstLineChars="0"/>
        <w:jc w:val="left"/>
        <w:outlineLvl w:val="1"/>
        <w:rPr>
          <w:rFonts w:hint="eastAsia" w:ascii="方正仿宋_GB2312" w:hAnsi="方正仿宋_GB2312" w:eastAsia="方正仿宋_GB2312" w:cs="方正仿宋_GB2312"/>
          <w:b/>
          <w:snapToGrid w:val="0"/>
          <w:color w:val="000000"/>
          <w:kern w:val="44"/>
          <w:sz w:val="24"/>
          <w:szCs w:val="24"/>
          <w:lang w:val="en-US" w:eastAsia="zh-CN" w:bidi="ar-SA"/>
          <w14:ligatures w14:val="none"/>
        </w:rPr>
      </w:pPr>
      <w:bookmarkStart w:id="4" w:name="_Toc23563"/>
      <w:bookmarkStart w:id="5" w:name="_Hlk194939130"/>
      <w:r>
        <w:rPr>
          <w:rFonts w:hint="eastAsia" w:ascii="方正仿宋_GB2312" w:hAnsi="方正仿宋_GB2312" w:eastAsia="方正仿宋_GB2312" w:cs="方正仿宋_GB2312"/>
          <w:b/>
          <w:snapToGrid w:val="0"/>
          <w:color w:val="000000"/>
          <w:kern w:val="44"/>
          <w:sz w:val="24"/>
          <w:szCs w:val="24"/>
          <w:lang w:val="en-US" w:eastAsia="zh-CN" w:bidi="ar-SA"/>
          <w14:ligatures w14:val="none"/>
        </w:rPr>
        <w:t>制定背景</w:t>
      </w:r>
      <w:bookmarkEnd w:id="4"/>
    </w:p>
    <w:p w14:paraId="349F3C6E">
      <w:pPr>
        <w:spacing w:line="360" w:lineRule="auto"/>
        <w:ind w:firstLine="480" w:firstLineChars="200"/>
        <w:jc w:val="left"/>
        <w:rPr>
          <w:rFonts w:hint="eastAsia" w:ascii="Arial" w:hAnsi="Arial" w:eastAsia="Arial" w:cs="Arial"/>
          <w:b w:val="0"/>
          <w:snapToGrid w:val="0"/>
          <w:color w:val="000000"/>
          <w:kern w:val="0"/>
          <w:sz w:val="24"/>
          <w:szCs w:val="24"/>
          <w:lang w:val="en-US" w:eastAsia="zh-CN" w:bidi="ar-SA"/>
          <w14:ligatures w14:val="none"/>
        </w:rPr>
      </w:pPr>
      <w:r>
        <w:rPr>
          <w:rFonts w:hint="eastAsia" w:ascii="Arial" w:hAnsi="Arial" w:eastAsia="Arial" w:cs="Arial"/>
          <w:b w:val="0"/>
          <w:snapToGrid w:val="0"/>
          <w:color w:val="000000"/>
          <w:kern w:val="0"/>
          <w:sz w:val="24"/>
          <w:szCs w:val="24"/>
          <w:lang w:val="en-US" w:eastAsia="zh-CN" w:bidi="ar-SA"/>
          <w14:ligatures w14:val="none"/>
        </w:rPr>
        <w:t>田菁是优质豆科肥饲兼用作物，具备固氮能力强、耐盐碱、耐旱涝、生长速度快、生物量大、蛋白含量高等突出优势，依靠根瘤固氮提升土壤氮含量，发达根系疏松土体、改良土壤团粒结构；地上植株刈割后可作为高蛋白饲草，亦可直接翻压还田用作绿肥，是盐碱边际土地生态修复、饲草产业发展的优良种质资源。盐碱地块水资源供需矛盾突出，传统漫灌模式水资源利用率极低，水分蒸发易引发盐分表聚，加剧土壤次生盐碱化，大幅降低土地产出能力。田菁种植依靠传统经验生产，存在灌溉模式粗放、水肥管理失衡、种植模式与滴灌设施不配套等诸多问题，无法充分释放田菁固氮改土、饲草丰产的价值。现有田菁相关科研多聚焦耐盐碱特性、固氮效果等基础研究，缺少系统性、标准化的中重度盐碱地高产栽培技术体系。技术标准缺失导致农户生产缺少科学指导，节水设备应用效果差、推广阻力大，制约田菁产业规模化高质量发展。</w:t>
      </w:r>
    </w:p>
    <w:p w14:paraId="0C6143B8">
      <w:pPr>
        <w:numPr>
          <w:ilvl w:val="0"/>
          <w:numId w:val="3"/>
        </w:numPr>
        <w:spacing w:line="360" w:lineRule="auto"/>
        <w:ind w:left="0" w:leftChars="0" w:firstLine="420" w:firstLineChars="0"/>
        <w:jc w:val="left"/>
        <w:outlineLvl w:val="1"/>
        <w:rPr>
          <w:rFonts w:hint="eastAsia" w:ascii="方正仿宋_GB2312" w:hAnsi="方正仿宋_GB2312" w:eastAsia="方正仿宋_GB2312" w:cs="方正仿宋_GB2312"/>
          <w:b/>
          <w:snapToGrid w:val="0"/>
          <w:color w:val="000000"/>
          <w:kern w:val="44"/>
          <w:sz w:val="24"/>
          <w:szCs w:val="24"/>
          <w:lang w:val="en-US" w:eastAsia="zh-CN" w:bidi="ar-SA"/>
          <w14:ligatures w14:val="none"/>
        </w:rPr>
      </w:pPr>
      <w:bookmarkStart w:id="6" w:name="_Toc19291"/>
      <w:r>
        <w:rPr>
          <w:rFonts w:hint="eastAsia" w:ascii="方正仿宋_GB2312" w:hAnsi="方正仿宋_GB2312" w:eastAsia="方正仿宋_GB2312" w:cs="方正仿宋_GB2312"/>
          <w:b/>
          <w:snapToGrid w:val="0"/>
          <w:color w:val="000000"/>
          <w:kern w:val="44"/>
          <w:sz w:val="24"/>
          <w:szCs w:val="24"/>
          <w:lang w:val="en-US" w:eastAsia="zh-CN" w:bidi="ar-SA"/>
          <w14:ligatures w14:val="none"/>
        </w:rPr>
        <w:t>产业化情况</w:t>
      </w:r>
      <w:bookmarkEnd w:id="6"/>
    </w:p>
    <w:p w14:paraId="7EEA0BEF">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本标准适配田菁种植生产的“两垄四行”种植布局、浅埋滴灌管护、分生育期灌溉施肥参数、水肥一体化配比等细化规范，整合机械条播、浅埋滴灌、水肥一体化等高效节水技术，构建适配区域盐碱耕地的田菁标准化栽培体系，完整规范整地、播种、灌溉、施肥、绿色防控、刈割与籽粒收获全流程操作参数。一方面缓解盐碱地水资源浪费、次生盐渍化问题，提升水肥利用效率；另一方面推动田菁种植由经验化生产转向标准化管控，充分挖掘盐碱地生产潜力，同步实现土壤生态改良、饲草增产、水资源节约多重效益。标准落地后可形成可复制、可推广的盐碱地田菁高产种植模式，盘活区域后备耕地资源、保障饲草供给稳定，助力干旱半干旱盐碱区农业绿色循环发展，兼具生态、经济、社会效益，具备充分立项必要性。</w:t>
      </w:r>
    </w:p>
    <w:bookmarkEnd w:id="5"/>
    <w:p w14:paraId="3C3928CD">
      <w:pPr>
        <w:numPr>
          <w:ilvl w:val="0"/>
          <w:numId w:val="3"/>
        </w:numPr>
        <w:spacing w:line="360" w:lineRule="auto"/>
        <w:ind w:left="0" w:leftChars="0" w:firstLine="420" w:firstLineChars="0"/>
        <w:jc w:val="left"/>
        <w:outlineLvl w:val="1"/>
        <w:rPr>
          <w:rFonts w:hint="eastAsia" w:ascii="方正仿宋_GB2312" w:hAnsi="方正仿宋_GB2312" w:eastAsia="方正仿宋_GB2312" w:cs="方正仿宋_GB2312"/>
          <w:b/>
          <w:snapToGrid w:val="0"/>
          <w:color w:val="000000"/>
          <w:kern w:val="44"/>
          <w:sz w:val="24"/>
          <w:szCs w:val="24"/>
          <w:lang w:val="en-US" w:eastAsia="zh-CN" w:bidi="ar-SA"/>
          <w14:ligatures w14:val="none"/>
        </w:rPr>
      </w:pPr>
      <w:bookmarkStart w:id="7" w:name="_Toc203050989"/>
      <w:bookmarkStart w:id="8" w:name="_Toc213659363"/>
      <w:bookmarkStart w:id="9" w:name="_Toc203050422"/>
      <w:bookmarkStart w:id="10" w:name="_Toc3632"/>
      <w:r>
        <w:rPr>
          <w:rFonts w:hint="eastAsia" w:ascii="方正仿宋_GB2312" w:hAnsi="方正仿宋_GB2312" w:eastAsia="方正仿宋_GB2312" w:cs="方正仿宋_GB2312"/>
          <w:b/>
          <w:snapToGrid w:val="0"/>
          <w:color w:val="000000"/>
          <w:kern w:val="44"/>
          <w:sz w:val="24"/>
          <w:szCs w:val="24"/>
          <w:lang w:val="en-US" w:eastAsia="zh-CN" w:bidi="ar-SA"/>
          <w14:ligatures w14:val="none"/>
        </w:rPr>
        <w:t>起草过程</w:t>
      </w:r>
      <w:bookmarkEnd w:id="7"/>
      <w:bookmarkEnd w:id="8"/>
      <w:bookmarkEnd w:id="9"/>
      <w:bookmarkEnd w:id="10"/>
    </w:p>
    <w:p w14:paraId="79461DEB">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0" w:leftChars="0" w:firstLine="482" w:firstLineChars="200"/>
        <w:jc w:val="both"/>
        <w:textAlignment w:val="baseline"/>
        <w:outlineLvl w:val="2"/>
        <w:rPr>
          <w:rFonts w:hint="default" w:ascii="Times New Roman" w:hAnsi="Times New Roman" w:eastAsia="仿宋" w:cs="Times New Roman"/>
          <w:b/>
          <w:bCs/>
          <w:sz w:val="24"/>
          <w:szCs w:val="24"/>
          <w:lang w:eastAsia="zh-CN"/>
        </w:rPr>
      </w:pPr>
      <w:r>
        <w:rPr>
          <w:rFonts w:hint="eastAsia" w:ascii="Times New Roman" w:hAnsi="Times New Roman" w:eastAsia="仿宋" w:cs="Times New Roman"/>
          <w:b/>
          <w:bCs/>
          <w:sz w:val="24"/>
          <w:szCs w:val="24"/>
          <w:lang w:val="en-US" w:eastAsia="zh-CN"/>
        </w:rPr>
        <w:t>立项与</w:t>
      </w:r>
      <w:r>
        <w:rPr>
          <w:rFonts w:hint="default" w:ascii="Times New Roman" w:hAnsi="Times New Roman" w:eastAsia="仿宋" w:cs="Times New Roman"/>
          <w:b/>
          <w:bCs/>
          <w:sz w:val="24"/>
          <w:szCs w:val="24"/>
          <w:lang w:eastAsia="zh-CN"/>
        </w:rPr>
        <w:t>筹备阶段</w:t>
      </w:r>
    </w:p>
    <w:p w14:paraId="00D6AEE3">
      <w:pPr>
        <w:keepNext w:val="0"/>
        <w:keepLines w:val="0"/>
        <w:pageBreakBefore w:val="0"/>
        <w:widowControl/>
        <w:kinsoku/>
        <w:wordWrap/>
        <w:overflowPunct/>
        <w:topLinePunct w:val="0"/>
        <w:autoSpaceDE w:val="0"/>
        <w:autoSpaceDN w:val="0"/>
        <w:bidi w:val="0"/>
        <w:adjustRightInd/>
        <w:snapToGrid/>
        <w:spacing w:line="360" w:lineRule="auto"/>
        <w:ind w:firstLine="480" w:firstLineChars="200"/>
        <w:jc w:val="both"/>
        <w:textAlignment w:val="auto"/>
        <w:rPr>
          <w:rFonts w:hint="eastAsia" w:ascii="Times New Roman" w:hAnsi="Times New Roman" w:eastAsia="Arial" w:cs="Arial"/>
          <w:snapToGrid w:val="0"/>
          <w:color w:val="000000"/>
          <w:kern w:val="0"/>
          <w:sz w:val="24"/>
          <w:szCs w:val="24"/>
          <w:lang w:val="en-US" w:eastAsia="zh-CN"/>
          <w14:ligatures w14:val="none"/>
        </w:rPr>
      </w:pPr>
      <w:r>
        <w:rPr>
          <w:rFonts w:hint="eastAsia" w:ascii="Arial" w:hAnsi="Arial" w:eastAsia="Arial" w:cs="Arial"/>
          <w:snapToGrid w:val="0"/>
          <w:color w:val="000000"/>
          <w:kern w:val="0"/>
          <w:sz w:val="24"/>
          <w:szCs w:val="24"/>
          <w:lang w:val="en-US" w:eastAsia="zh-CN" w:bidi="ar-SA"/>
        </w:rPr>
        <w:t>2025年 7 月，</w:t>
      </w:r>
      <w:r>
        <w:rPr>
          <w:rFonts w:hint="eastAsia" w:ascii="Arial" w:hAnsi="Arial" w:eastAsia="Arial" w:cs="Arial"/>
          <w:b w:val="0"/>
          <w:snapToGrid w:val="0"/>
          <w:color w:val="000000"/>
          <w:kern w:val="0"/>
          <w:sz w:val="24"/>
          <w:szCs w:val="24"/>
          <w:lang w:val="en-US" w:eastAsia="zh-CN" w:bidi="ar-SA"/>
          <w14:ligatures w14:val="none"/>
        </w:rPr>
        <w:t>《中重度盐碱地田菁高产栽培技术规范》</w:t>
      </w:r>
      <w:r>
        <w:rPr>
          <w:rFonts w:hint="eastAsia" w:ascii="Arial" w:hAnsi="Arial" w:eastAsia="Arial" w:cs="Arial"/>
          <w:snapToGrid w:val="0"/>
          <w:color w:val="000000"/>
          <w:kern w:val="0"/>
          <w:sz w:val="24"/>
          <w:szCs w:val="24"/>
          <w:lang w:val="en-US" w:eastAsia="zh-CN" w:bidi="ar-SA"/>
        </w:rPr>
        <w:t>团体标准提出立项申请。由</w:t>
      </w:r>
      <w:r>
        <w:rPr>
          <w:rFonts w:hint="eastAsia" w:ascii="Times New Roman" w:hAnsi="Times New Roman" w:eastAsia="Arial" w:cs="Arial"/>
          <w:snapToGrid w:val="0"/>
          <w:color w:val="000000"/>
          <w:kern w:val="0"/>
          <w:sz w:val="24"/>
          <w:szCs w:val="24"/>
          <w:lang w:val="en-US" w:eastAsia="zh-CN"/>
          <w14:ligatures w14:val="none"/>
        </w:rPr>
        <w:t>通辽市农牧业科学院</w:t>
      </w:r>
      <w:r>
        <w:rPr>
          <w:rFonts w:hint="eastAsia" w:ascii="Arial" w:hAnsi="Arial" w:eastAsia="Arial" w:cs="Arial"/>
          <w:snapToGrid w:val="0"/>
          <w:color w:val="000000"/>
          <w:kern w:val="0"/>
          <w:sz w:val="24"/>
          <w:szCs w:val="24"/>
          <w:lang w:val="en-US" w:eastAsia="zh-CN" w:bidi="ar-SA"/>
        </w:rPr>
        <w:t>牵头，</w:t>
      </w:r>
      <w:r>
        <w:rPr>
          <w:rFonts w:hint="eastAsia" w:ascii="Times New Roman" w:hAnsi="Times New Roman" w:eastAsia="Arial" w:cs="Arial"/>
          <w:snapToGrid w:val="0"/>
          <w:color w:val="000000"/>
          <w:kern w:val="0"/>
          <w:sz w:val="24"/>
          <w:szCs w:val="24"/>
          <w:lang w:val="en-US" w:eastAsia="zh-CN"/>
          <w14:ligatures w14:val="none"/>
        </w:rPr>
        <w:t>中国科学院遗传与发育生物学研究所</w:t>
      </w:r>
      <w:r>
        <w:rPr>
          <w:rFonts w:hint="eastAsia" w:ascii="Arial" w:hAnsi="Arial" w:eastAsia="Arial" w:cs="Arial"/>
          <w:snapToGrid w:val="0"/>
          <w:color w:val="000000"/>
          <w:kern w:val="0"/>
          <w:sz w:val="24"/>
          <w:szCs w:val="24"/>
          <w:lang w:val="en-US" w:eastAsia="zh-CN" w:bidi="ar-SA"/>
        </w:rPr>
        <w:t>作为共同起草单位，并且成立了</w:t>
      </w:r>
      <w:r>
        <w:rPr>
          <w:rFonts w:hint="eastAsia" w:ascii="Arial" w:hAnsi="Arial" w:eastAsia="Arial" w:cs="Arial"/>
          <w:b w:val="0"/>
          <w:snapToGrid w:val="0"/>
          <w:color w:val="000000"/>
          <w:kern w:val="0"/>
          <w:sz w:val="24"/>
          <w:szCs w:val="24"/>
          <w:lang w:val="en-US" w:eastAsia="zh-CN" w:bidi="ar-SA"/>
          <w14:ligatures w14:val="none"/>
        </w:rPr>
        <w:t>《中重度盐碱地田菁高产栽培技术规范》</w:t>
      </w:r>
      <w:r>
        <w:rPr>
          <w:rFonts w:hint="eastAsia" w:ascii="Arial" w:hAnsi="Arial" w:eastAsia="Arial" w:cs="Arial"/>
          <w:snapToGrid w:val="0"/>
          <w:color w:val="000000"/>
          <w:kern w:val="0"/>
          <w:sz w:val="24"/>
          <w:szCs w:val="24"/>
          <w:lang w:val="en-US" w:eastAsia="zh-CN" w:bidi="ar-SA"/>
        </w:rPr>
        <w:t>团体标准起草工作组，标准起草工作组由</w:t>
      </w:r>
      <w:r>
        <w:rPr>
          <w:rFonts w:hint="eastAsia" w:ascii="Times New Roman" w:hAnsi="Times New Roman" w:eastAsia="Arial" w:cs="Arial"/>
          <w:snapToGrid w:val="0"/>
          <w:color w:val="000000"/>
          <w:kern w:val="0"/>
          <w:sz w:val="24"/>
          <w:szCs w:val="24"/>
          <w:lang w:val="en-US" w:eastAsia="zh-CN"/>
          <w14:ligatures w14:val="none"/>
        </w:rPr>
        <w:t>通辽市农牧业科学院</w:t>
      </w:r>
      <w:r>
        <w:rPr>
          <w:rFonts w:hint="eastAsia" w:ascii="Arial" w:hAnsi="Arial" w:eastAsia="Arial" w:cs="Arial"/>
          <w:snapToGrid w:val="0"/>
          <w:color w:val="000000"/>
          <w:kern w:val="0"/>
          <w:sz w:val="24"/>
          <w:szCs w:val="24"/>
          <w:lang w:val="en-US" w:eastAsia="zh-CN" w:bidi="ar-SA"/>
        </w:rPr>
        <w:t>组织相关领域的专家及企业共同参与，有条不紊地开展标准起草工作。</w:t>
      </w:r>
    </w:p>
    <w:p w14:paraId="7FDBEDBD">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0" w:leftChars="0" w:firstLine="482" w:firstLineChars="200"/>
        <w:jc w:val="both"/>
        <w:textAlignment w:val="baseline"/>
        <w:outlineLvl w:val="2"/>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仿宋" w:cs="Times New Roman"/>
          <w:b/>
          <w:bCs/>
          <w:sz w:val="24"/>
          <w:szCs w:val="24"/>
          <w:lang w:val="en-US" w:eastAsia="zh-CN"/>
        </w:rPr>
        <w:t>产业</w:t>
      </w:r>
      <w:r>
        <w:rPr>
          <w:rFonts w:hint="default" w:ascii="Times New Roman" w:hAnsi="Times New Roman" w:eastAsia="仿宋" w:cs="Times New Roman"/>
          <w:b/>
          <w:bCs/>
          <w:sz w:val="24"/>
          <w:szCs w:val="24"/>
          <w:lang w:eastAsia="zh-CN"/>
        </w:rPr>
        <w:t>调研与收集资料阶段</w:t>
      </w:r>
    </w:p>
    <w:p w14:paraId="15B4D314">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2025年8月至12月，起草小组全面收集了国内外田菁栽培利用、盐碱地改良、节水灌溉和水肥一体化等方面的文献资料与技术标准，系统梳理了国家标准、行业标准中关于田菁种子质量、肥料施用、农药使用、节水灌溉器材的技术要求，并对全国团体标准信息平台、地方标准信息服务平台已发布的田菁相关标准进行了检索比对，明确了本标准的编制原则和技术边界。</w:t>
      </w:r>
    </w:p>
    <w:p w14:paraId="4818B2C5">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0" w:leftChars="0" w:firstLine="482" w:firstLineChars="200"/>
        <w:jc w:val="both"/>
        <w:textAlignment w:val="baseline"/>
        <w:outlineLvl w:val="2"/>
        <w:rPr>
          <w:rFonts w:hint="eastAsia" w:ascii="Times New Roman" w:hAnsi="Times New Roman" w:eastAsia="Arial" w:cs="Arial"/>
          <w:snapToGrid w:val="0"/>
          <w:color w:val="000000"/>
          <w:kern w:val="0"/>
          <w:sz w:val="24"/>
          <w:szCs w:val="24"/>
          <w:lang w:val="en-US" w:eastAsia="zh-CN"/>
          <w14:ligatures w14:val="none"/>
        </w:rPr>
      </w:pPr>
      <w:r>
        <w:rPr>
          <w:rFonts w:hint="default" w:ascii="Times New Roman" w:hAnsi="Times New Roman" w:eastAsia="仿宋" w:cs="Times New Roman"/>
          <w:b/>
          <w:bCs/>
          <w:sz w:val="24"/>
          <w:szCs w:val="24"/>
          <w:lang w:eastAsia="zh-CN"/>
        </w:rPr>
        <w:t>起草与修改阶段</w:t>
      </w:r>
    </w:p>
    <w:p w14:paraId="756F25E3">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2026年1月至7月，在系统整理试验示范数据的基础上，起草小组按照GB/T 1.1的规定编制了《中重度盐碱地田菁高产栽培技术规范》标准草案和编制说明初稿，围绕“两垄四行”种植布局、浅埋滴灌管护、分生育期灌溉施肥参数、水肥一体化配比等关键技术内容进行了多轮研讨论证，结合生产实践对整地、播种、灌溉、施肥、病虫草害防控、刈割与籽粒收获等环节的技术参数反复校核。起草组在标准编制过程中充分借鉴已有的理论研究和实践成果，经过数次修改于2026年7月形成标准草案（工作组讨论稿）。</w:t>
      </w:r>
    </w:p>
    <w:p w14:paraId="3C732058">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0" w:leftChars="0" w:firstLine="482" w:firstLineChars="200"/>
        <w:jc w:val="both"/>
        <w:textAlignment w:val="baseline"/>
        <w:outlineLvl w:val="2"/>
        <w:rPr>
          <w:rFonts w:hint="eastAsia" w:ascii="Times New Roman" w:hAnsi="Times New Roman" w:eastAsia="Arial" w:cs="Arial"/>
          <w:snapToGrid w:val="0"/>
          <w:color w:val="000000"/>
          <w:kern w:val="0"/>
          <w:sz w:val="24"/>
          <w:szCs w:val="24"/>
          <w:lang w:val="en-US" w:eastAsia="zh-CN"/>
          <w14:ligatures w14:val="none"/>
        </w:rPr>
      </w:pPr>
      <w:r>
        <w:rPr>
          <w:rFonts w:hint="default" w:ascii="Times New Roman" w:hAnsi="Times New Roman" w:eastAsia="仿宋" w:cs="Times New Roman"/>
          <w:b/>
          <w:bCs/>
          <w:sz w:val="24"/>
          <w:szCs w:val="24"/>
          <w:lang w:eastAsia="zh-CN"/>
        </w:rPr>
        <w:t>征求意见与修订阶段</w:t>
      </w:r>
    </w:p>
    <w:p w14:paraId="1A71A760">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2026年8月至10月,形成标准草案（工作组讨论稿）之后，起草组于2026年9月召开专家研讨会，从标准框架、标准起草等角度广泛征求多方意见，从理论完善和实践应用方面提升标准的适用性和实用性。经过理论研究和方法验证，起草组形成了《中重度盐碱地田菁高产栽培技术规范》（征求意见稿）。计划于2026年9月，在协会公众号平台及全国团体标准信息服务平台公示征求意见，标准起草小组将征求意见稿发送给相关农业技术部门、科研机构等，广泛征求意见。公开征求意见情况如表1所示。</w:t>
      </w:r>
    </w:p>
    <w:p w14:paraId="5890993F">
      <w:pPr>
        <w:pStyle w:val="11"/>
        <w:keepNext w:val="0"/>
        <w:keepLines w:val="0"/>
        <w:pageBreakBefore w:val="0"/>
        <w:widowControl/>
        <w:suppressLineNumbers w:val="0"/>
        <w:kinsoku w:val="0"/>
        <w:wordWrap/>
        <w:overflowPunct/>
        <w:topLinePunct w:val="0"/>
        <w:autoSpaceDE w:val="0"/>
        <w:autoSpaceDN w:val="0"/>
        <w:bidi w:val="0"/>
        <w:adjustRightInd/>
        <w:snapToGrid w:val="0"/>
        <w:spacing w:before="0" w:beforeAutospacing="0" w:after="0" w:afterAutospacing="0" w:line="300" w:lineRule="auto"/>
        <w:ind w:right="0"/>
        <w:jc w:val="center"/>
        <w:textAlignment w:val="baseline"/>
        <w:rPr>
          <w:rFonts w:hint="default" w:eastAsia="黑体" w:cs="宋体"/>
          <w:b w:val="0"/>
          <w:snapToGrid w:val="0"/>
          <w:color w:val="000000"/>
          <w:kern w:val="0"/>
          <w:sz w:val="24"/>
          <w:szCs w:val="24"/>
          <w:highlight w:val="none"/>
          <w:lang w:val="en-US" w:eastAsia="zh-CN" w:bidi="ar-SA"/>
        </w:rPr>
      </w:pPr>
      <w:bookmarkStart w:id="11" w:name="_Ref1990"/>
      <w:r>
        <w:rPr>
          <w:sz w:val="21"/>
          <w:szCs w:val="21"/>
        </w:rPr>
        <w:t xml:space="preserve">表 </w:t>
      </w:r>
      <w:r>
        <w:rPr>
          <w:sz w:val="21"/>
          <w:szCs w:val="21"/>
        </w:rPr>
        <w:fldChar w:fldCharType="begin"/>
      </w:r>
      <w:r>
        <w:rPr>
          <w:sz w:val="21"/>
          <w:szCs w:val="21"/>
        </w:rPr>
        <w:instrText xml:space="preserve"> SEQ 表 \* ARABIC </w:instrText>
      </w:r>
      <w:r>
        <w:rPr>
          <w:sz w:val="21"/>
          <w:szCs w:val="21"/>
        </w:rPr>
        <w:fldChar w:fldCharType="separate"/>
      </w:r>
      <w:r>
        <w:rPr>
          <w:sz w:val="21"/>
          <w:szCs w:val="21"/>
        </w:rPr>
        <w:t>1</w:t>
      </w:r>
      <w:r>
        <w:rPr>
          <w:sz w:val="21"/>
          <w:szCs w:val="21"/>
        </w:rPr>
        <w:fldChar w:fldCharType="end"/>
      </w:r>
      <w:bookmarkEnd w:id="11"/>
      <w:r>
        <w:rPr>
          <w:rFonts w:hint="eastAsia"/>
          <w:sz w:val="21"/>
          <w:szCs w:val="21"/>
          <w:lang w:val="en-US" w:eastAsia="zh-CN"/>
        </w:rPr>
        <w:t xml:space="preserve"> 《中重度盐碱地田菁高产栽培技术规范》团体标准公开征求意见情况表</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9"/>
        <w:gridCol w:w="1484"/>
        <w:gridCol w:w="5073"/>
      </w:tblGrid>
      <w:tr w14:paraId="1244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9" w:type="dxa"/>
          </w:tcPr>
          <w:p w14:paraId="2AD16919">
            <w:pPr>
              <w:pStyle w:val="21"/>
              <w:keepNext w:val="0"/>
              <w:keepLines w:val="0"/>
              <w:pageBreakBefore w:val="0"/>
              <w:widowControl/>
              <w:suppressLineNumbers w:val="0"/>
              <w:kinsoku w:val="0"/>
              <w:wordWrap/>
              <w:overflowPunct/>
              <w:topLinePunct w:val="0"/>
              <w:autoSpaceDE w:val="0"/>
              <w:autoSpaceDN w:val="0"/>
              <w:bidi w:val="0"/>
              <w:adjustRightInd/>
              <w:snapToGrid w:val="0"/>
              <w:spacing w:before="0" w:beforeAutospacing="0" w:after="0" w:afterAutospacing="0" w:line="300" w:lineRule="auto"/>
              <w:ind w:left="0" w:right="0"/>
              <w:jc w:val="left"/>
              <w:textAlignment w:val="baseline"/>
              <w:rPr>
                <w:rFonts w:hint="default" w:cs="宋体"/>
                <w:b w:val="0"/>
                <w:snapToGrid w:val="0"/>
                <w:color w:val="000000"/>
                <w:kern w:val="0"/>
                <w:sz w:val="24"/>
                <w:szCs w:val="24"/>
                <w:highlight w:val="none"/>
                <w:vertAlign w:val="baseline"/>
                <w:lang w:val="en-US" w:eastAsia="zh-CN" w:bidi="ar-SA"/>
              </w:rPr>
            </w:pPr>
            <w:r>
              <w:rPr>
                <w:rFonts w:hint="eastAsia" w:cs="宋体"/>
                <w:b w:val="0"/>
                <w:snapToGrid w:val="0"/>
                <w:color w:val="000000"/>
                <w:kern w:val="0"/>
                <w:sz w:val="24"/>
                <w:szCs w:val="24"/>
                <w:highlight w:val="none"/>
                <w:vertAlign w:val="baseline"/>
                <w:lang w:val="en-US" w:eastAsia="zh-CN" w:bidi="ar-SA"/>
              </w:rPr>
              <w:t>回函单位情况</w:t>
            </w:r>
          </w:p>
        </w:tc>
        <w:tc>
          <w:tcPr>
            <w:tcW w:w="6557" w:type="dxa"/>
            <w:gridSpan w:val="2"/>
          </w:tcPr>
          <w:p w14:paraId="392474A2">
            <w:pPr>
              <w:pStyle w:val="21"/>
              <w:keepNext w:val="0"/>
              <w:keepLines w:val="0"/>
              <w:pageBreakBefore w:val="0"/>
              <w:widowControl/>
              <w:suppressLineNumbers w:val="0"/>
              <w:kinsoku w:val="0"/>
              <w:wordWrap/>
              <w:overflowPunct/>
              <w:topLinePunct w:val="0"/>
              <w:autoSpaceDE w:val="0"/>
              <w:autoSpaceDN w:val="0"/>
              <w:bidi w:val="0"/>
              <w:adjustRightInd/>
              <w:snapToGrid w:val="0"/>
              <w:spacing w:before="0" w:beforeAutospacing="0" w:after="0" w:afterAutospacing="0" w:line="300" w:lineRule="auto"/>
              <w:ind w:left="0" w:right="0"/>
              <w:jc w:val="left"/>
              <w:textAlignment w:val="baseline"/>
              <w:rPr>
                <w:rFonts w:hint="default" w:cs="宋体"/>
                <w:b w:val="0"/>
                <w:snapToGrid w:val="0"/>
                <w:color w:val="000000"/>
                <w:kern w:val="0"/>
                <w:sz w:val="24"/>
                <w:szCs w:val="24"/>
                <w:highlight w:val="none"/>
                <w:vertAlign w:val="baseline"/>
                <w:lang w:val="en-US" w:eastAsia="zh-CN" w:bidi="ar-SA"/>
              </w:rPr>
            </w:pPr>
            <w:r>
              <w:rPr>
                <w:rFonts w:hint="eastAsia" w:cs="宋体"/>
                <w:b w:val="0"/>
                <w:snapToGrid w:val="0"/>
                <w:color w:val="000000"/>
                <w:kern w:val="0"/>
                <w:sz w:val="24"/>
                <w:szCs w:val="24"/>
                <w:highlight w:val="none"/>
                <w:vertAlign w:val="baseline"/>
                <w:lang w:val="en-US" w:eastAsia="zh-CN" w:bidi="ar-SA"/>
              </w:rPr>
              <w:t>共</w:t>
            </w:r>
            <w:r>
              <w:rPr>
                <w:rFonts w:hint="eastAsia" w:cs="宋体"/>
                <w:b w:val="0"/>
                <w:snapToGrid w:val="0"/>
                <w:color w:val="000000"/>
                <w:kern w:val="0"/>
                <w:sz w:val="24"/>
                <w:szCs w:val="24"/>
                <w:highlight w:val="none"/>
                <w:u w:val="single"/>
                <w:vertAlign w:val="baseline"/>
                <w:lang w:val="en-US" w:eastAsia="zh-CN" w:bidi="ar-SA"/>
              </w:rPr>
              <w:t xml:space="preserve"> 3 </w:t>
            </w:r>
            <w:r>
              <w:rPr>
                <w:rFonts w:hint="eastAsia" w:cs="宋体"/>
                <w:b w:val="0"/>
                <w:snapToGrid w:val="0"/>
                <w:color w:val="000000"/>
                <w:kern w:val="0"/>
                <w:sz w:val="24"/>
                <w:szCs w:val="24"/>
                <w:highlight w:val="none"/>
                <w:vertAlign w:val="baseline"/>
                <w:lang w:val="en-US" w:eastAsia="zh-CN" w:bidi="ar-SA"/>
              </w:rPr>
              <w:t>个单位回函，其中生产厂家</w:t>
            </w:r>
            <w:r>
              <w:rPr>
                <w:rFonts w:hint="eastAsia" w:cs="宋体"/>
                <w:b w:val="0"/>
                <w:snapToGrid w:val="0"/>
                <w:color w:val="000000"/>
                <w:kern w:val="0"/>
                <w:sz w:val="24"/>
                <w:szCs w:val="24"/>
                <w:highlight w:val="none"/>
                <w:u w:val="single"/>
                <w:vertAlign w:val="baseline"/>
                <w:lang w:val="en-US" w:eastAsia="zh-CN" w:bidi="ar-SA"/>
              </w:rPr>
              <w:t xml:space="preserve"> 0 </w:t>
            </w:r>
            <w:r>
              <w:rPr>
                <w:rFonts w:hint="eastAsia" w:cs="宋体"/>
                <w:b w:val="0"/>
                <w:snapToGrid w:val="0"/>
                <w:color w:val="000000"/>
                <w:kern w:val="0"/>
                <w:sz w:val="24"/>
                <w:szCs w:val="24"/>
                <w:highlight w:val="none"/>
                <w:vertAlign w:val="baseline"/>
                <w:lang w:val="en-US" w:eastAsia="zh-CN" w:bidi="ar-SA"/>
              </w:rPr>
              <w:t>个，科研机构</w:t>
            </w:r>
            <w:r>
              <w:rPr>
                <w:rFonts w:hint="eastAsia" w:cs="宋体"/>
                <w:b w:val="0"/>
                <w:snapToGrid w:val="0"/>
                <w:color w:val="000000"/>
                <w:kern w:val="0"/>
                <w:sz w:val="24"/>
                <w:szCs w:val="24"/>
                <w:highlight w:val="none"/>
                <w:u w:val="single"/>
                <w:vertAlign w:val="baseline"/>
                <w:lang w:val="en-US" w:eastAsia="zh-CN" w:bidi="ar-SA"/>
              </w:rPr>
              <w:t xml:space="preserve"> 2 </w:t>
            </w:r>
            <w:r>
              <w:rPr>
                <w:rFonts w:hint="eastAsia" w:cs="宋体"/>
                <w:b w:val="0"/>
                <w:snapToGrid w:val="0"/>
                <w:color w:val="000000"/>
                <w:kern w:val="0"/>
                <w:sz w:val="24"/>
                <w:szCs w:val="24"/>
                <w:highlight w:val="none"/>
                <w:vertAlign w:val="baseline"/>
                <w:lang w:val="en-US" w:eastAsia="zh-CN" w:bidi="ar-SA"/>
              </w:rPr>
              <w:t>个，农业技术部门</w:t>
            </w:r>
            <w:r>
              <w:rPr>
                <w:rFonts w:hint="eastAsia" w:cs="宋体"/>
                <w:b w:val="0"/>
                <w:snapToGrid w:val="0"/>
                <w:color w:val="000000"/>
                <w:kern w:val="0"/>
                <w:sz w:val="24"/>
                <w:szCs w:val="24"/>
                <w:highlight w:val="none"/>
                <w:u w:val="single"/>
                <w:vertAlign w:val="baseline"/>
                <w:lang w:val="en-US" w:eastAsia="zh-CN" w:bidi="ar-SA"/>
              </w:rPr>
              <w:t xml:space="preserve"> 1 </w:t>
            </w:r>
            <w:r>
              <w:rPr>
                <w:rFonts w:hint="eastAsia" w:cs="宋体"/>
                <w:b w:val="0"/>
                <w:snapToGrid w:val="0"/>
                <w:color w:val="000000"/>
                <w:kern w:val="0"/>
                <w:sz w:val="24"/>
                <w:szCs w:val="24"/>
                <w:highlight w:val="none"/>
                <w:vertAlign w:val="baseline"/>
                <w:lang w:val="en-US" w:eastAsia="zh-CN" w:bidi="ar-SA"/>
              </w:rPr>
              <w:t>个，用户（含经销商）</w:t>
            </w:r>
            <w:r>
              <w:rPr>
                <w:rFonts w:hint="eastAsia" w:cs="宋体"/>
                <w:b w:val="0"/>
                <w:snapToGrid w:val="0"/>
                <w:color w:val="000000"/>
                <w:kern w:val="0"/>
                <w:sz w:val="24"/>
                <w:szCs w:val="24"/>
                <w:highlight w:val="none"/>
                <w:u w:val="single"/>
                <w:vertAlign w:val="baseline"/>
                <w:lang w:val="en-US" w:eastAsia="zh-CN" w:bidi="ar-SA"/>
              </w:rPr>
              <w:t xml:space="preserve"> 0 </w:t>
            </w:r>
            <w:r>
              <w:rPr>
                <w:rFonts w:hint="eastAsia" w:cs="宋体"/>
                <w:b w:val="0"/>
                <w:snapToGrid w:val="0"/>
                <w:color w:val="000000"/>
                <w:kern w:val="0"/>
                <w:sz w:val="24"/>
                <w:szCs w:val="24"/>
                <w:highlight w:val="none"/>
                <w:vertAlign w:val="baseline"/>
                <w:lang w:val="en-US" w:eastAsia="zh-CN" w:bidi="ar-SA"/>
              </w:rPr>
              <w:t>个</w:t>
            </w:r>
          </w:p>
        </w:tc>
      </w:tr>
      <w:tr w14:paraId="01101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3" w:type="dxa"/>
            <w:gridSpan w:val="2"/>
          </w:tcPr>
          <w:p w14:paraId="4557CEC6">
            <w:pPr>
              <w:pStyle w:val="21"/>
              <w:keepNext w:val="0"/>
              <w:keepLines w:val="0"/>
              <w:pageBreakBefore w:val="0"/>
              <w:widowControl/>
              <w:suppressLineNumbers w:val="0"/>
              <w:kinsoku w:val="0"/>
              <w:wordWrap/>
              <w:overflowPunct/>
              <w:topLinePunct w:val="0"/>
              <w:autoSpaceDE w:val="0"/>
              <w:autoSpaceDN w:val="0"/>
              <w:bidi w:val="0"/>
              <w:adjustRightInd/>
              <w:snapToGrid w:val="0"/>
              <w:spacing w:before="0" w:beforeAutospacing="0" w:after="0" w:afterAutospacing="0" w:line="300" w:lineRule="auto"/>
              <w:ind w:left="0" w:right="0"/>
              <w:jc w:val="left"/>
              <w:textAlignment w:val="baseline"/>
              <w:rPr>
                <w:rFonts w:hint="default" w:cs="宋体"/>
                <w:b w:val="0"/>
                <w:snapToGrid w:val="0"/>
                <w:color w:val="000000"/>
                <w:kern w:val="0"/>
                <w:sz w:val="24"/>
                <w:szCs w:val="24"/>
                <w:highlight w:val="none"/>
                <w:vertAlign w:val="baseline"/>
                <w:lang w:val="en-US" w:eastAsia="zh-CN" w:bidi="ar-SA"/>
              </w:rPr>
            </w:pPr>
            <w:r>
              <w:rPr>
                <w:rFonts w:hint="eastAsia" w:cs="宋体"/>
                <w:b w:val="0"/>
                <w:snapToGrid w:val="0"/>
                <w:color w:val="000000"/>
                <w:kern w:val="0"/>
                <w:sz w:val="24"/>
                <w:szCs w:val="24"/>
                <w:highlight w:val="none"/>
                <w:vertAlign w:val="baseline"/>
                <w:lang w:val="en-US" w:eastAsia="zh-CN" w:bidi="ar-SA"/>
              </w:rPr>
              <w:t>回函并提建议的单位个数</w:t>
            </w:r>
          </w:p>
        </w:tc>
        <w:tc>
          <w:tcPr>
            <w:tcW w:w="5073" w:type="dxa"/>
          </w:tcPr>
          <w:p w14:paraId="3B688BA3">
            <w:pPr>
              <w:pStyle w:val="21"/>
              <w:keepNext w:val="0"/>
              <w:keepLines w:val="0"/>
              <w:pageBreakBefore w:val="0"/>
              <w:widowControl/>
              <w:suppressLineNumbers w:val="0"/>
              <w:kinsoku w:val="0"/>
              <w:wordWrap/>
              <w:overflowPunct/>
              <w:topLinePunct w:val="0"/>
              <w:autoSpaceDE w:val="0"/>
              <w:autoSpaceDN w:val="0"/>
              <w:bidi w:val="0"/>
              <w:adjustRightInd/>
              <w:snapToGrid w:val="0"/>
              <w:spacing w:before="0" w:beforeAutospacing="0" w:after="0" w:afterAutospacing="0" w:line="300" w:lineRule="auto"/>
              <w:ind w:left="0" w:right="0"/>
              <w:jc w:val="left"/>
              <w:textAlignment w:val="baseline"/>
              <w:rPr>
                <w:rFonts w:hint="default" w:cs="宋体"/>
                <w:b w:val="0"/>
                <w:snapToGrid w:val="0"/>
                <w:color w:val="000000"/>
                <w:kern w:val="0"/>
                <w:sz w:val="24"/>
                <w:szCs w:val="24"/>
                <w:highlight w:val="none"/>
                <w:vertAlign w:val="baseline"/>
                <w:lang w:val="en-US" w:eastAsia="zh-CN" w:bidi="ar-SA"/>
              </w:rPr>
            </w:pPr>
            <w:r>
              <w:rPr>
                <w:rFonts w:hint="eastAsia" w:cs="宋体"/>
                <w:b w:val="0"/>
                <w:snapToGrid w:val="0"/>
                <w:color w:val="000000"/>
                <w:kern w:val="0"/>
                <w:sz w:val="24"/>
                <w:szCs w:val="24"/>
                <w:highlight w:val="none"/>
                <w:vertAlign w:val="baseline"/>
                <w:lang w:val="en-US" w:eastAsia="zh-CN" w:bidi="ar-SA"/>
              </w:rPr>
              <w:t>3</w:t>
            </w:r>
          </w:p>
        </w:tc>
      </w:tr>
      <w:tr w14:paraId="4F74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3" w:type="dxa"/>
            <w:gridSpan w:val="2"/>
          </w:tcPr>
          <w:p w14:paraId="2AD5AB83">
            <w:pPr>
              <w:pStyle w:val="21"/>
              <w:keepNext w:val="0"/>
              <w:keepLines w:val="0"/>
              <w:pageBreakBefore w:val="0"/>
              <w:widowControl/>
              <w:suppressLineNumbers w:val="0"/>
              <w:kinsoku w:val="0"/>
              <w:wordWrap/>
              <w:overflowPunct/>
              <w:topLinePunct w:val="0"/>
              <w:autoSpaceDE w:val="0"/>
              <w:autoSpaceDN w:val="0"/>
              <w:bidi w:val="0"/>
              <w:adjustRightInd/>
              <w:snapToGrid w:val="0"/>
              <w:spacing w:before="0" w:beforeAutospacing="0" w:after="0" w:afterAutospacing="0" w:line="300" w:lineRule="auto"/>
              <w:ind w:left="0" w:right="0"/>
              <w:jc w:val="left"/>
              <w:textAlignment w:val="baseline"/>
              <w:rPr>
                <w:rFonts w:hint="eastAsia" w:cs="宋体"/>
                <w:b w:val="0"/>
                <w:snapToGrid w:val="0"/>
                <w:color w:val="000000"/>
                <w:kern w:val="0"/>
                <w:sz w:val="24"/>
                <w:szCs w:val="24"/>
                <w:highlight w:val="none"/>
                <w:vertAlign w:val="baseline"/>
                <w:lang w:val="en-US" w:eastAsia="zh-CN" w:bidi="ar-SA"/>
              </w:rPr>
            </w:pPr>
            <w:r>
              <w:rPr>
                <w:rFonts w:hint="eastAsia" w:cs="宋体"/>
                <w:b w:val="0"/>
                <w:snapToGrid w:val="0"/>
                <w:color w:val="000000"/>
                <w:kern w:val="0"/>
                <w:sz w:val="24"/>
                <w:szCs w:val="24"/>
                <w:highlight w:val="none"/>
                <w:vertAlign w:val="baseline"/>
                <w:lang w:val="en-US" w:eastAsia="zh-CN" w:bidi="ar-SA"/>
              </w:rPr>
              <w:t>回函但没有建议的单位个数</w:t>
            </w:r>
          </w:p>
        </w:tc>
        <w:tc>
          <w:tcPr>
            <w:tcW w:w="5073" w:type="dxa"/>
          </w:tcPr>
          <w:p w14:paraId="0258F6C4">
            <w:pPr>
              <w:pStyle w:val="21"/>
              <w:keepNext w:val="0"/>
              <w:keepLines w:val="0"/>
              <w:pageBreakBefore w:val="0"/>
              <w:widowControl/>
              <w:suppressLineNumbers w:val="0"/>
              <w:kinsoku w:val="0"/>
              <w:wordWrap/>
              <w:overflowPunct/>
              <w:topLinePunct w:val="0"/>
              <w:autoSpaceDE w:val="0"/>
              <w:autoSpaceDN w:val="0"/>
              <w:bidi w:val="0"/>
              <w:adjustRightInd/>
              <w:snapToGrid w:val="0"/>
              <w:spacing w:before="0" w:beforeAutospacing="0" w:after="0" w:afterAutospacing="0" w:line="300" w:lineRule="auto"/>
              <w:ind w:left="0" w:right="0"/>
              <w:jc w:val="left"/>
              <w:textAlignment w:val="baseline"/>
              <w:rPr>
                <w:rFonts w:hint="default" w:cs="宋体"/>
                <w:b w:val="0"/>
                <w:snapToGrid w:val="0"/>
                <w:color w:val="000000"/>
                <w:kern w:val="0"/>
                <w:sz w:val="24"/>
                <w:szCs w:val="24"/>
                <w:highlight w:val="none"/>
                <w:vertAlign w:val="baseline"/>
                <w:lang w:val="en-US" w:eastAsia="zh-CN" w:bidi="ar-SA"/>
              </w:rPr>
            </w:pPr>
            <w:r>
              <w:rPr>
                <w:rFonts w:hint="eastAsia" w:cs="宋体"/>
                <w:b w:val="0"/>
                <w:snapToGrid w:val="0"/>
                <w:color w:val="000000"/>
                <w:kern w:val="0"/>
                <w:sz w:val="24"/>
                <w:szCs w:val="24"/>
                <w:highlight w:val="none"/>
                <w:vertAlign w:val="baseline"/>
                <w:lang w:val="en-US" w:eastAsia="zh-CN" w:bidi="ar-SA"/>
              </w:rPr>
              <w:t>0</w:t>
            </w:r>
          </w:p>
        </w:tc>
      </w:tr>
      <w:tr w14:paraId="14E21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3" w:type="dxa"/>
            <w:gridSpan w:val="2"/>
          </w:tcPr>
          <w:p w14:paraId="7DB27685">
            <w:pPr>
              <w:pStyle w:val="21"/>
              <w:keepNext w:val="0"/>
              <w:keepLines w:val="0"/>
              <w:pageBreakBefore w:val="0"/>
              <w:widowControl/>
              <w:suppressLineNumbers w:val="0"/>
              <w:kinsoku w:val="0"/>
              <w:wordWrap/>
              <w:overflowPunct/>
              <w:topLinePunct w:val="0"/>
              <w:autoSpaceDE w:val="0"/>
              <w:autoSpaceDN w:val="0"/>
              <w:bidi w:val="0"/>
              <w:adjustRightInd/>
              <w:snapToGrid w:val="0"/>
              <w:spacing w:before="0" w:beforeAutospacing="0" w:after="0" w:afterAutospacing="0" w:line="300" w:lineRule="auto"/>
              <w:ind w:left="0" w:right="0"/>
              <w:jc w:val="left"/>
              <w:textAlignment w:val="baseline"/>
              <w:rPr>
                <w:rFonts w:hint="default" w:cs="宋体"/>
                <w:b w:val="0"/>
                <w:snapToGrid w:val="0"/>
                <w:color w:val="000000"/>
                <w:kern w:val="0"/>
                <w:sz w:val="24"/>
                <w:szCs w:val="24"/>
                <w:highlight w:val="none"/>
                <w:vertAlign w:val="baseline"/>
                <w:lang w:val="en-US" w:eastAsia="zh-CN" w:bidi="ar-SA"/>
              </w:rPr>
            </w:pPr>
            <w:r>
              <w:rPr>
                <w:rFonts w:hint="eastAsia" w:cs="宋体"/>
                <w:b w:val="0"/>
                <w:snapToGrid w:val="0"/>
                <w:color w:val="000000"/>
                <w:kern w:val="0"/>
                <w:sz w:val="24"/>
                <w:szCs w:val="24"/>
                <w:highlight w:val="none"/>
                <w:vertAlign w:val="baseline"/>
                <w:lang w:val="en-US" w:eastAsia="zh-CN" w:bidi="ar-SA"/>
              </w:rPr>
              <w:t>征集到的意见及采纳情况</w:t>
            </w:r>
          </w:p>
        </w:tc>
        <w:tc>
          <w:tcPr>
            <w:tcW w:w="5073" w:type="dxa"/>
          </w:tcPr>
          <w:p w14:paraId="28012C02">
            <w:pPr>
              <w:pStyle w:val="21"/>
              <w:keepNext w:val="0"/>
              <w:keepLines w:val="0"/>
              <w:pageBreakBefore w:val="0"/>
              <w:widowControl/>
              <w:suppressLineNumbers w:val="0"/>
              <w:kinsoku w:val="0"/>
              <w:wordWrap/>
              <w:overflowPunct/>
              <w:topLinePunct w:val="0"/>
              <w:autoSpaceDE w:val="0"/>
              <w:autoSpaceDN w:val="0"/>
              <w:bidi w:val="0"/>
              <w:adjustRightInd/>
              <w:snapToGrid w:val="0"/>
              <w:spacing w:before="0" w:beforeAutospacing="0" w:after="0" w:afterAutospacing="0" w:line="300" w:lineRule="auto"/>
              <w:ind w:left="0" w:right="0"/>
              <w:jc w:val="left"/>
              <w:textAlignment w:val="baseline"/>
              <w:rPr>
                <w:rFonts w:hint="default" w:cs="宋体"/>
                <w:b w:val="0"/>
                <w:snapToGrid w:val="0"/>
                <w:color w:val="000000"/>
                <w:kern w:val="0"/>
                <w:sz w:val="24"/>
                <w:szCs w:val="24"/>
                <w:highlight w:val="none"/>
                <w:vertAlign w:val="baseline"/>
                <w:lang w:val="en-US" w:eastAsia="zh-CN" w:bidi="ar-SA"/>
              </w:rPr>
            </w:pPr>
            <w:r>
              <w:rPr>
                <w:rFonts w:hint="eastAsia" w:ascii="Times New Roman" w:hAnsi="Times New Roman"/>
                <w:color w:val="000000"/>
                <w:sz w:val="24"/>
                <w:szCs w:val="28"/>
                <w:highlight w:val="none"/>
              </w:rPr>
              <w:t>征集到意见</w:t>
            </w:r>
            <w:r>
              <w:rPr>
                <w:rFonts w:hint="eastAsia" w:ascii="Times New Roman" w:hAnsi="Times New Roman"/>
                <w:color w:val="000000"/>
                <w:sz w:val="24"/>
                <w:szCs w:val="28"/>
                <w:highlight w:val="none"/>
                <w:u w:val="single"/>
                <w:lang w:val="en-US" w:eastAsia="zh-CN"/>
              </w:rPr>
              <w:t xml:space="preserve">  11 </w:t>
            </w:r>
            <w:r>
              <w:rPr>
                <w:rFonts w:hint="eastAsia" w:ascii="Times New Roman" w:hAnsi="Times New Roman"/>
                <w:color w:val="000000"/>
                <w:sz w:val="24"/>
                <w:szCs w:val="28"/>
                <w:highlight w:val="none"/>
              </w:rPr>
              <w:t>条，其中同意采纳</w:t>
            </w:r>
            <w:r>
              <w:rPr>
                <w:rFonts w:hint="eastAsia" w:ascii="Times New Roman" w:hAnsi="Times New Roman"/>
                <w:color w:val="000000"/>
                <w:sz w:val="24"/>
                <w:szCs w:val="28"/>
                <w:highlight w:val="none"/>
                <w:u w:val="single"/>
                <w:lang w:val="en-US" w:eastAsia="zh-CN"/>
              </w:rPr>
              <w:t xml:space="preserve"> 11  </w:t>
            </w:r>
            <w:r>
              <w:rPr>
                <w:rFonts w:hint="eastAsia" w:ascii="Times New Roman" w:hAnsi="Times New Roman"/>
                <w:color w:val="000000"/>
                <w:sz w:val="24"/>
                <w:szCs w:val="28"/>
                <w:highlight w:val="none"/>
              </w:rPr>
              <w:t>条，占</w:t>
            </w:r>
            <w:r>
              <w:rPr>
                <w:rFonts w:hint="eastAsia" w:ascii="Times New Roman" w:hAnsi="Times New Roman"/>
                <w:color w:val="000000"/>
                <w:sz w:val="24"/>
                <w:szCs w:val="28"/>
                <w:highlight w:val="none"/>
                <w:u w:val="single"/>
                <w:lang w:val="en-US" w:eastAsia="zh-CN"/>
              </w:rPr>
              <w:t xml:space="preserve">    100</w:t>
            </w:r>
            <w:r>
              <w:rPr>
                <w:rFonts w:hint="eastAsia" w:ascii="Times New Roman" w:hAnsi="Times New Roman"/>
                <w:color w:val="000000"/>
                <w:sz w:val="24"/>
                <w:szCs w:val="28"/>
                <w:highlight w:val="none"/>
              </w:rPr>
              <w:t>%；未采纳</w:t>
            </w:r>
            <w:r>
              <w:rPr>
                <w:rFonts w:hint="eastAsia" w:ascii="Times New Roman" w:hAnsi="Times New Roman"/>
                <w:color w:val="000000"/>
                <w:sz w:val="24"/>
                <w:szCs w:val="28"/>
                <w:highlight w:val="none"/>
                <w:u w:val="single"/>
                <w:lang w:val="en-US" w:eastAsia="zh-CN"/>
              </w:rPr>
              <w:t xml:space="preserve">  0  </w:t>
            </w:r>
            <w:r>
              <w:rPr>
                <w:rFonts w:hint="eastAsia" w:ascii="Times New Roman" w:hAnsi="Times New Roman"/>
                <w:color w:val="000000"/>
                <w:sz w:val="24"/>
                <w:szCs w:val="28"/>
                <w:highlight w:val="none"/>
              </w:rPr>
              <w:t>条，占</w:t>
            </w:r>
            <w:r>
              <w:rPr>
                <w:rFonts w:hint="eastAsia" w:ascii="Times New Roman" w:hAnsi="Times New Roman"/>
                <w:color w:val="000000"/>
                <w:sz w:val="24"/>
                <w:szCs w:val="28"/>
                <w:highlight w:val="none"/>
                <w:u w:val="single"/>
                <w:lang w:val="en-US" w:eastAsia="zh-CN"/>
              </w:rPr>
              <w:t xml:space="preserve">  0  </w:t>
            </w:r>
            <w:r>
              <w:rPr>
                <w:rFonts w:hint="eastAsia" w:ascii="Times New Roman" w:hAnsi="Times New Roman"/>
                <w:color w:val="000000"/>
                <w:sz w:val="24"/>
                <w:szCs w:val="28"/>
                <w:highlight w:val="none"/>
              </w:rPr>
              <w:t>%；</w:t>
            </w:r>
            <w:r>
              <w:rPr>
                <w:rFonts w:hint="eastAsia" w:ascii="Times New Roman" w:hAnsi="Times New Roman"/>
                <w:color w:val="000000"/>
                <w:sz w:val="24"/>
                <w:szCs w:val="28"/>
                <w:highlight w:val="none"/>
                <w:u w:val="single"/>
                <w:lang w:val="en-US" w:eastAsia="zh-CN"/>
              </w:rPr>
              <w:t xml:space="preserve">  0  </w:t>
            </w:r>
            <w:r>
              <w:rPr>
                <w:rFonts w:hint="eastAsia" w:ascii="Times New Roman" w:hAnsi="Times New Roman"/>
                <w:color w:val="000000"/>
                <w:sz w:val="24"/>
                <w:szCs w:val="28"/>
                <w:highlight w:val="none"/>
              </w:rPr>
              <w:t>条部分采纳，占</w:t>
            </w:r>
            <w:r>
              <w:rPr>
                <w:rFonts w:hint="eastAsia" w:ascii="Times New Roman" w:hAnsi="Times New Roman"/>
                <w:color w:val="000000"/>
                <w:sz w:val="24"/>
                <w:szCs w:val="28"/>
                <w:highlight w:val="none"/>
                <w:u w:val="single"/>
                <w:lang w:val="en-US" w:eastAsia="zh-CN"/>
              </w:rPr>
              <w:t xml:space="preserve">  0  </w:t>
            </w:r>
            <w:r>
              <w:rPr>
                <w:rFonts w:hint="eastAsia" w:ascii="Times New Roman" w:hAnsi="Times New Roman"/>
                <w:color w:val="000000"/>
                <w:sz w:val="24"/>
                <w:szCs w:val="28"/>
                <w:highlight w:val="none"/>
              </w:rPr>
              <w:t>%，对未采纳和部分采纳者均在</w:t>
            </w:r>
            <w:r>
              <w:rPr>
                <w:rFonts w:hint="eastAsia" w:ascii="Times New Roman" w:hAnsi="Times New Roman"/>
                <w:color w:val="000000"/>
                <w:sz w:val="24"/>
                <w:szCs w:val="28"/>
                <w:highlight w:val="none"/>
                <w:lang w:eastAsia="zh-CN"/>
              </w:rPr>
              <w:t>“</w:t>
            </w:r>
            <w:r>
              <w:rPr>
                <w:rFonts w:hint="eastAsia" w:ascii="Times New Roman" w:hAnsi="Times New Roman"/>
                <w:color w:val="000000"/>
                <w:sz w:val="24"/>
                <w:szCs w:val="28"/>
                <w:highlight w:val="none"/>
                <w:lang w:val="en-US" w:eastAsia="zh-CN"/>
              </w:rPr>
              <w:t>公开征求意见汇总表</w:t>
            </w:r>
            <w:r>
              <w:rPr>
                <w:rFonts w:hint="eastAsia" w:ascii="Times New Roman" w:hAnsi="Times New Roman"/>
                <w:color w:val="000000"/>
                <w:sz w:val="24"/>
                <w:szCs w:val="28"/>
                <w:highlight w:val="none"/>
                <w:lang w:eastAsia="zh-CN"/>
              </w:rPr>
              <w:t>”</w:t>
            </w:r>
            <w:r>
              <w:rPr>
                <w:rFonts w:hint="eastAsia" w:ascii="Times New Roman" w:hAnsi="Times New Roman"/>
                <w:color w:val="000000"/>
                <w:sz w:val="24"/>
                <w:szCs w:val="28"/>
                <w:highlight w:val="none"/>
              </w:rPr>
              <w:t>备注栏中均做了说明。</w:t>
            </w:r>
            <w:r>
              <w:rPr>
                <w:rFonts w:hint="eastAsia" w:ascii="Times New Roman" w:hAnsi="Times New Roman"/>
                <w:color w:val="000000"/>
                <w:sz w:val="24"/>
                <w:szCs w:val="28"/>
              </w:rPr>
              <w:t xml:space="preserve"> </w:t>
            </w:r>
          </w:p>
        </w:tc>
      </w:tr>
    </w:tbl>
    <w:p w14:paraId="6CA146EB">
      <w:pPr>
        <w:keepNext w:val="0"/>
        <w:keepLines w:val="0"/>
        <w:pageBreakBefore w:val="0"/>
        <w:widowControl/>
        <w:numPr>
          <w:numId w:val="0"/>
        </w:numPr>
        <w:kinsoku w:val="0"/>
        <w:wordWrap/>
        <w:overflowPunct/>
        <w:topLinePunct w:val="0"/>
        <w:autoSpaceDE w:val="0"/>
        <w:autoSpaceDN w:val="0"/>
        <w:bidi w:val="0"/>
        <w:adjustRightInd w:val="0"/>
        <w:snapToGrid w:val="0"/>
        <w:spacing w:line="360" w:lineRule="auto"/>
        <w:ind w:leftChars="200"/>
        <w:jc w:val="both"/>
        <w:textAlignment w:val="baseline"/>
        <w:rPr>
          <w:rFonts w:hint="default" w:ascii="Times New Roman" w:hAnsi="Times New Roman" w:eastAsia="仿宋" w:cs="Times New Roman"/>
          <w:b/>
          <w:bCs/>
          <w:sz w:val="24"/>
          <w:szCs w:val="24"/>
          <w:lang w:eastAsia="zh-CN"/>
        </w:rPr>
      </w:pPr>
    </w:p>
    <w:p w14:paraId="123C97A8">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0" w:leftChars="0" w:firstLine="482" w:firstLineChars="200"/>
        <w:jc w:val="both"/>
        <w:textAlignment w:val="baseline"/>
        <w:outlineLvl w:val="2"/>
        <w:rPr>
          <w:rFonts w:hint="default" w:ascii="Times New Roman" w:hAnsi="Times New Roman" w:eastAsia="仿宋" w:cs="Times New Roman"/>
          <w:b/>
          <w:bCs/>
          <w:sz w:val="24"/>
          <w:szCs w:val="24"/>
          <w:lang w:eastAsia="zh-CN"/>
        </w:rPr>
      </w:pPr>
      <w:r>
        <w:rPr>
          <w:rFonts w:hint="default" w:ascii="Times New Roman" w:hAnsi="Times New Roman" w:eastAsia="仿宋" w:cs="Times New Roman"/>
          <w:b/>
          <w:bCs/>
          <w:sz w:val="24"/>
          <w:szCs w:val="24"/>
          <w:lang w:eastAsia="zh-CN"/>
        </w:rPr>
        <w:t>审定与发布阶段</w:t>
      </w:r>
    </w:p>
    <w:p w14:paraId="344D7C84">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计划于2026年9月召开标准专家审查会，12月31</w:t>
      </w:r>
      <w:bookmarkStart w:id="50" w:name="_GoBack"/>
      <w:bookmarkEnd w:id="50"/>
      <w:r>
        <w:rPr>
          <w:rFonts w:hint="eastAsia" w:ascii="Times New Roman" w:hAnsi="Times New Roman" w:eastAsia="Arial" w:cs="Arial"/>
          <w:snapToGrid w:val="0"/>
          <w:color w:val="000000"/>
          <w:kern w:val="0"/>
          <w:sz w:val="24"/>
          <w:szCs w:val="24"/>
          <w:lang w:val="en-US" w:eastAsia="zh-CN"/>
          <w14:ligatures w14:val="none"/>
        </w:rPr>
        <w:t>日前完成标准的报批与发布。</w:t>
      </w:r>
    </w:p>
    <w:p w14:paraId="1E494827">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0" w:leftChars="0" w:firstLine="482" w:firstLineChars="200"/>
        <w:jc w:val="both"/>
        <w:textAlignment w:val="baseline"/>
        <w:outlineLvl w:val="2"/>
        <w:rPr>
          <w:rFonts w:hint="eastAsia" w:ascii="Times New Roman" w:hAnsi="Times New Roman" w:eastAsia="Arial" w:cs="Arial"/>
          <w:snapToGrid w:val="0"/>
          <w:color w:val="000000"/>
          <w:kern w:val="0"/>
          <w:sz w:val="24"/>
          <w:szCs w:val="24"/>
          <w:lang w:val="en-US" w:eastAsia="zh-CN"/>
          <w14:ligatures w14:val="none"/>
        </w:rPr>
      </w:pPr>
      <w:r>
        <w:rPr>
          <w:rFonts w:ascii="Times New Roman" w:hAnsi="Times New Roman" w:eastAsia="仿宋" w:cs="Times New Roman"/>
          <w:b/>
          <w:bCs/>
          <w:snapToGrid w:val="0"/>
          <w:color w:val="000000"/>
          <w:kern w:val="0"/>
          <w:sz w:val="24"/>
          <w:szCs w:val="24"/>
          <w:lang w:val="en-US" w:eastAsia="zh-CN" w:bidi="ar"/>
        </w:rPr>
        <w:t>宣传与推广阶段</w:t>
      </w:r>
    </w:p>
    <w:p w14:paraId="5F6D31D9">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标准正式发布实施后，按照</w:t>
      </w:r>
      <w:r>
        <w:rPr>
          <w:rFonts w:hint="eastAsia" w:ascii="Arial" w:hAnsi="Arial" w:eastAsia="Arial" w:cs="Arial"/>
          <w:b w:val="0"/>
          <w:snapToGrid w:val="0"/>
          <w:color w:val="000000"/>
          <w:kern w:val="0"/>
          <w:sz w:val="24"/>
          <w:szCs w:val="24"/>
          <w:lang w:val="en-US" w:eastAsia="zh-CN" w:bidi="ar-SA"/>
          <w14:ligatures w14:val="none"/>
        </w:rPr>
        <w:t>《中国植物学会团体标准管理办法（试行）》</w:t>
      </w:r>
      <w:r>
        <w:rPr>
          <w:rFonts w:hint="eastAsia" w:ascii="Times New Roman" w:hAnsi="Times New Roman" w:eastAsia="Arial" w:cs="Arial"/>
          <w:snapToGrid w:val="0"/>
          <w:color w:val="000000"/>
          <w:kern w:val="0"/>
          <w:sz w:val="24"/>
          <w:szCs w:val="24"/>
          <w:lang w:val="en-US" w:eastAsia="zh-CN"/>
          <w14:ligatures w14:val="none"/>
        </w:rPr>
        <w:t>的有关规定，开展标准试点应用，促进中重度盐碱地田菁产业的健康发展。</w:t>
      </w:r>
    </w:p>
    <w:p w14:paraId="6FCD2848">
      <w:pPr>
        <w:numPr>
          <w:ilvl w:val="0"/>
          <w:numId w:val="3"/>
        </w:numPr>
        <w:spacing w:line="360" w:lineRule="auto"/>
        <w:ind w:left="0" w:leftChars="0" w:firstLine="420" w:firstLineChars="0"/>
        <w:jc w:val="left"/>
        <w:outlineLvl w:val="1"/>
        <w:rPr>
          <w:rFonts w:hint="eastAsia" w:ascii="方正仿宋_GB2312" w:hAnsi="方正仿宋_GB2312" w:eastAsia="方正仿宋_GB2312" w:cs="方正仿宋_GB2312"/>
          <w:b/>
          <w:snapToGrid w:val="0"/>
          <w:color w:val="000000"/>
          <w:kern w:val="44"/>
          <w:sz w:val="24"/>
          <w:szCs w:val="24"/>
          <w:lang w:val="en-US" w:eastAsia="zh-CN" w:bidi="ar-SA"/>
          <w14:ligatures w14:val="none"/>
        </w:rPr>
      </w:pPr>
      <w:bookmarkStart w:id="12" w:name="_Toc32469"/>
      <w:r>
        <w:rPr>
          <w:rFonts w:hint="eastAsia" w:ascii="方正仿宋_GB2312" w:hAnsi="方正仿宋_GB2312" w:eastAsia="方正仿宋_GB2312" w:cs="方正仿宋_GB2312"/>
          <w:b/>
          <w:snapToGrid w:val="0"/>
          <w:color w:val="000000"/>
          <w:kern w:val="44"/>
          <w:sz w:val="24"/>
          <w:szCs w:val="24"/>
          <w:lang w:val="en-US" w:eastAsia="zh-CN" w:bidi="ar-SA"/>
          <w14:ligatures w14:val="none"/>
        </w:rPr>
        <w:t>制标任务分工</w:t>
      </w:r>
      <w:bookmarkEnd w:id="12"/>
    </w:p>
    <w:p w14:paraId="1FB12B8E">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本标准起草单位为通辽市农牧业科学院牵头，负责标准方案的设计、调研、资料收集、标准起草、专家意见汇总、资料的分析与整理等；</w:t>
      </w:r>
      <w:r>
        <w:rPr>
          <w:rFonts w:hint="eastAsia" w:ascii="Arial" w:hAnsi="Arial" w:eastAsia="Arial" w:cs="Arial"/>
          <w:b w:val="0"/>
          <w:snapToGrid w:val="0"/>
          <w:color w:val="000000"/>
          <w:kern w:val="0"/>
          <w:sz w:val="24"/>
          <w:szCs w:val="24"/>
          <w:lang w:val="en-US" w:eastAsia="zh-CN" w:bidi="ar-SA"/>
          <w14:ligatures w14:val="none"/>
        </w:rPr>
        <w:t>中国科学院遗传与发育生物学研究所</w:t>
      </w:r>
      <w:r>
        <w:rPr>
          <w:rFonts w:hint="eastAsia" w:ascii="Times New Roman" w:hAnsi="Times New Roman" w:eastAsia="Arial" w:cs="Arial"/>
          <w:snapToGrid w:val="0"/>
          <w:color w:val="000000"/>
          <w:kern w:val="0"/>
          <w:sz w:val="24"/>
          <w:szCs w:val="24"/>
          <w:lang w:val="en-US" w:eastAsia="zh-CN"/>
          <w14:ligatures w14:val="none"/>
        </w:rPr>
        <w:t>协作参加。主要起草人及分工见表2：</w:t>
      </w:r>
    </w:p>
    <w:p w14:paraId="662EF507">
      <w:pPr>
        <w:pStyle w:val="65"/>
        <w:keepNext w:val="0"/>
        <w:keepLines w:val="0"/>
        <w:pageBreakBefore w:val="0"/>
        <w:widowControl/>
        <w:kinsoku/>
        <w:wordWrap/>
        <w:overflowPunct/>
        <w:topLinePunct w:val="0"/>
        <w:autoSpaceDE/>
        <w:autoSpaceDN/>
        <w:bidi w:val="0"/>
        <w:adjustRightInd/>
        <w:snapToGrid/>
        <w:spacing w:before="157" w:beforeLines="50" w:after="157" w:afterLines="50"/>
        <w:textAlignment w:val="auto"/>
        <w:rPr>
          <w:rFonts w:hint="default" w:hAnsi="黑体" w:eastAsia="黑体"/>
          <w:b/>
          <w:sz w:val="21"/>
          <w:szCs w:val="21"/>
          <w:highlight w:val="none"/>
          <w:lang w:val="en-US" w:eastAsia="zh-CN"/>
        </w:rPr>
      </w:pPr>
      <w:r>
        <w:rPr>
          <w:rFonts w:hint="eastAsia" w:hAnsi="黑体"/>
          <w:b/>
          <w:sz w:val="21"/>
          <w:szCs w:val="21"/>
          <w:highlight w:val="none"/>
        </w:rPr>
        <w:t>表</w:t>
      </w:r>
      <w:r>
        <w:rPr>
          <w:rFonts w:hint="eastAsia" w:hAnsi="黑体"/>
          <w:b/>
          <w:sz w:val="21"/>
          <w:szCs w:val="21"/>
          <w:highlight w:val="none"/>
          <w:lang w:val="en-US" w:eastAsia="zh-CN"/>
        </w:rPr>
        <w:t>2</w:t>
      </w:r>
      <w:r>
        <w:rPr>
          <w:rFonts w:hint="eastAsia" w:hAnsi="黑体"/>
          <w:b/>
          <w:sz w:val="21"/>
          <w:szCs w:val="21"/>
          <w:highlight w:val="none"/>
        </w:rPr>
        <w:t xml:space="preserve"> </w:t>
      </w:r>
      <w:r>
        <w:rPr>
          <w:rFonts w:hAnsi="黑体"/>
          <w:b/>
          <w:sz w:val="21"/>
          <w:szCs w:val="21"/>
          <w:highlight w:val="none"/>
        </w:rPr>
        <w:t xml:space="preserve"> </w:t>
      </w:r>
      <w:r>
        <w:rPr>
          <w:rFonts w:hint="eastAsia" w:hAnsi="黑体"/>
          <w:b/>
          <w:sz w:val="21"/>
          <w:szCs w:val="21"/>
          <w:highlight w:val="none"/>
        </w:rPr>
        <w:t>标准起草单位和起草人</w:t>
      </w:r>
      <w:r>
        <w:rPr>
          <w:rFonts w:hint="eastAsia" w:hAnsi="黑体"/>
          <w:b/>
          <w:sz w:val="21"/>
          <w:szCs w:val="21"/>
          <w:highlight w:val="none"/>
          <w:lang w:val="en-US" w:eastAsia="zh-CN"/>
        </w:rPr>
        <w:t>任务分工</w:t>
      </w:r>
    </w:p>
    <w:tbl>
      <w:tblPr>
        <w:tblStyle w:val="24"/>
        <w:tblW w:w="48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5"/>
        <w:gridCol w:w="2181"/>
        <w:gridCol w:w="3811"/>
      </w:tblGrid>
      <w:tr w14:paraId="567E7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254" w:type="pct"/>
            <w:vAlign w:val="center"/>
          </w:tcPr>
          <w:p w14:paraId="19C3EE50">
            <w:pPr>
              <w:pStyle w:val="4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Style w:val="66"/>
                <w:rFonts w:hint="eastAsia" w:eastAsia="宋体"/>
                <w:b/>
                <w:bCs/>
                <w:spacing w:val="0"/>
                <w:kern w:val="0"/>
                <w:sz w:val="21"/>
                <w:szCs w:val="21"/>
                <w:highlight w:val="none"/>
                <w:lang w:val="en-US" w:eastAsia="zh-CN"/>
              </w:rPr>
            </w:pPr>
            <w:r>
              <w:rPr>
                <w:rStyle w:val="66"/>
                <w:rFonts w:hint="eastAsia" w:eastAsia="宋体"/>
                <w:b/>
                <w:bCs/>
                <w:spacing w:val="0"/>
                <w:kern w:val="0"/>
                <w:sz w:val="21"/>
                <w:szCs w:val="21"/>
                <w:highlight w:val="none"/>
                <w:lang w:val="en-US" w:eastAsia="zh-CN"/>
              </w:rPr>
              <w:t>姓名</w:t>
            </w:r>
          </w:p>
        </w:tc>
        <w:tc>
          <w:tcPr>
            <w:tcW w:w="1363" w:type="pct"/>
            <w:vAlign w:val="center"/>
          </w:tcPr>
          <w:p w14:paraId="0EDD2355">
            <w:pPr>
              <w:pStyle w:val="4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Style w:val="66"/>
                <w:rFonts w:eastAsia="宋体"/>
                <w:b/>
                <w:bCs/>
                <w:spacing w:val="0"/>
                <w:kern w:val="0"/>
                <w:sz w:val="21"/>
                <w:szCs w:val="21"/>
                <w:highlight w:val="none"/>
              </w:rPr>
            </w:pPr>
            <w:r>
              <w:rPr>
                <w:rStyle w:val="66"/>
                <w:rFonts w:hint="eastAsia" w:eastAsia="宋体"/>
                <w:b/>
                <w:bCs/>
                <w:spacing w:val="0"/>
                <w:kern w:val="0"/>
                <w:sz w:val="21"/>
                <w:szCs w:val="21"/>
                <w:highlight w:val="none"/>
              </w:rPr>
              <w:t xml:space="preserve">单 </w:t>
            </w:r>
            <w:r>
              <w:rPr>
                <w:rStyle w:val="66"/>
                <w:rFonts w:eastAsia="宋体"/>
                <w:b/>
                <w:bCs/>
                <w:spacing w:val="0"/>
                <w:kern w:val="0"/>
                <w:sz w:val="21"/>
                <w:szCs w:val="21"/>
                <w:highlight w:val="none"/>
              </w:rPr>
              <w:t xml:space="preserve"> </w:t>
            </w:r>
            <w:r>
              <w:rPr>
                <w:rStyle w:val="66"/>
                <w:rFonts w:hint="eastAsia" w:eastAsia="宋体"/>
                <w:b/>
                <w:bCs/>
                <w:spacing w:val="0"/>
                <w:kern w:val="0"/>
                <w:sz w:val="21"/>
                <w:szCs w:val="21"/>
                <w:highlight w:val="none"/>
              </w:rPr>
              <w:t>位</w:t>
            </w:r>
          </w:p>
        </w:tc>
        <w:tc>
          <w:tcPr>
            <w:tcW w:w="2382" w:type="pct"/>
            <w:vAlign w:val="center"/>
          </w:tcPr>
          <w:p w14:paraId="59E8883A">
            <w:pPr>
              <w:pStyle w:val="4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Style w:val="66"/>
                <w:rFonts w:eastAsia="宋体"/>
                <w:b/>
                <w:bCs/>
                <w:spacing w:val="0"/>
                <w:kern w:val="0"/>
                <w:sz w:val="21"/>
                <w:szCs w:val="21"/>
                <w:highlight w:val="none"/>
              </w:rPr>
            </w:pPr>
            <w:r>
              <w:rPr>
                <w:rStyle w:val="66"/>
                <w:rFonts w:hint="eastAsia" w:eastAsia="宋体"/>
                <w:b/>
                <w:bCs/>
                <w:spacing w:val="0"/>
                <w:kern w:val="0"/>
                <w:sz w:val="21"/>
                <w:szCs w:val="21"/>
                <w:highlight w:val="none"/>
              </w:rPr>
              <w:t>承担工作</w:t>
            </w:r>
          </w:p>
        </w:tc>
      </w:tr>
      <w:tr w14:paraId="5000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54" w:type="pct"/>
            <w:vAlign w:val="center"/>
          </w:tcPr>
          <w:p w14:paraId="31AB6D84">
            <w:pPr>
              <w:pStyle w:val="41"/>
              <w:spacing w:line="240" w:lineRule="auto"/>
              <w:ind w:left="0" w:leftChars="0" w:firstLine="0" w:firstLineChars="0"/>
              <w:jc w:val="center"/>
              <w:rPr>
                <w:rStyle w:val="66"/>
                <w:rFonts w:hint="eastAsia" w:eastAsia="宋体"/>
                <w:spacing w:val="0"/>
                <w:kern w:val="0"/>
                <w:sz w:val="21"/>
                <w:szCs w:val="21"/>
                <w:highlight w:val="none"/>
                <w:lang w:eastAsia="zh-CN"/>
              </w:rPr>
            </w:pPr>
            <w:r>
              <w:rPr>
                <w:rStyle w:val="66"/>
                <w:rFonts w:hint="eastAsia" w:eastAsia="宋体"/>
                <w:spacing w:val="0"/>
                <w:kern w:val="0"/>
                <w:sz w:val="21"/>
                <w:szCs w:val="21"/>
                <w:highlight w:val="none"/>
              </w:rPr>
              <w:t>刘念山</w:t>
            </w:r>
          </w:p>
        </w:tc>
        <w:tc>
          <w:tcPr>
            <w:tcW w:w="1363" w:type="pct"/>
            <w:vAlign w:val="center"/>
          </w:tcPr>
          <w:p w14:paraId="0A0872C7">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通辽市农牧业科学院</w:t>
            </w:r>
          </w:p>
        </w:tc>
        <w:tc>
          <w:tcPr>
            <w:tcW w:w="2382" w:type="pct"/>
            <w:vAlign w:val="center"/>
          </w:tcPr>
          <w:p w14:paraId="56D3C882">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主持标准编制项目，提出总体框架结构</w:t>
            </w:r>
          </w:p>
        </w:tc>
      </w:tr>
      <w:tr w14:paraId="127FA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4" w:type="pct"/>
            <w:vAlign w:val="center"/>
          </w:tcPr>
          <w:p w14:paraId="40E53972">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曹晓风</w:t>
            </w:r>
          </w:p>
        </w:tc>
        <w:tc>
          <w:tcPr>
            <w:tcW w:w="1363" w:type="pct"/>
            <w:vAlign w:val="center"/>
          </w:tcPr>
          <w:p w14:paraId="6022BF67">
            <w:pPr>
              <w:pStyle w:val="41"/>
              <w:spacing w:line="240" w:lineRule="auto"/>
              <w:ind w:left="0" w:leftChars="0" w:firstLine="0" w:firstLineChars="0"/>
              <w:jc w:val="center"/>
              <w:rPr>
                <w:rStyle w:val="66"/>
                <w:rFonts w:hint="default" w:eastAsia="宋体"/>
                <w:spacing w:val="0"/>
                <w:kern w:val="0"/>
                <w:sz w:val="21"/>
                <w:szCs w:val="21"/>
                <w:highlight w:val="none"/>
                <w:lang w:val="en-US"/>
              </w:rPr>
            </w:pPr>
            <w:r>
              <w:rPr>
                <w:rStyle w:val="66"/>
                <w:rFonts w:hint="eastAsia" w:eastAsia="宋体"/>
                <w:spacing w:val="0"/>
                <w:kern w:val="0"/>
                <w:sz w:val="21"/>
                <w:szCs w:val="21"/>
                <w:highlight w:val="none"/>
              </w:rPr>
              <w:t>中国科学院遗传与发育生物学研究所</w:t>
            </w:r>
          </w:p>
        </w:tc>
        <w:tc>
          <w:tcPr>
            <w:tcW w:w="2382" w:type="pct"/>
            <w:vAlign w:val="center"/>
          </w:tcPr>
          <w:p w14:paraId="7B4BFFD5">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主持标准编制项目，提出总体框架结构</w:t>
            </w:r>
          </w:p>
        </w:tc>
      </w:tr>
      <w:tr w14:paraId="59AA1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4" w:type="pct"/>
            <w:vAlign w:val="center"/>
          </w:tcPr>
          <w:p w14:paraId="1F31D106">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lang w:val="en-US" w:eastAsia="zh-CN"/>
              </w:rPr>
              <w:t>邓娴</w:t>
            </w:r>
          </w:p>
        </w:tc>
        <w:tc>
          <w:tcPr>
            <w:tcW w:w="1363" w:type="pct"/>
            <w:vAlign w:val="center"/>
          </w:tcPr>
          <w:p w14:paraId="1ED04408">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中国科学院遗传与发育生物学研究所</w:t>
            </w:r>
          </w:p>
        </w:tc>
        <w:tc>
          <w:tcPr>
            <w:tcW w:w="2382" w:type="pct"/>
            <w:vAlign w:val="center"/>
          </w:tcPr>
          <w:p w14:paraId="1696E059">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主持标准编制项目，提出总体框架结构</w:t>
            </w:r>
          </w:p>
        </w:tc>
      </w:tr>
      <w:tr w14:paraId="32CBE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4" w:type="pct"/>
            <w:vAlign w:val="center"/>
          </w:tcPr>
          <w:p w14:paraId="06FD272B">
            <w:pPr>
              <w:pStyle w:val="41"/>
              <w:spacing w:line="240" w:lineRule="auto"/>
              <w:ind w:left="0" w:leftChars="0" w:firstLine="0" w:firstLineChars="0"/>
              <w:jc w:val="center"/>
              <w:rPr>
                <w:rStyle w:val="66"/>
                <w:rFonts w:hint="eastAsia" w:eastAsia="宋体"/>
                <w:spacing w:val="0"/>
                <w:kern w:val="0"/>
                <w:sz w:val="21"/>
                <w:szCs w:val="21"/>
                <w:highlight w:val="none"/>
                <w:lang w:val="en-US" w:eastAsia="zh-CN"/>
              </w:rPr>
            </w:pPr>
            <w:r>
              <w:rPr>
                <w:rStyle w:val="66"/>
                <w:rFonts w:hint="eastAsia" w:eastAsia="宋体"/>
                <w:spacing w:val="0"/>
                <w:kern w:val="0"/>
                <w:sz w:val="21"/>
                <w:szCs w:val="21"/>
                <w:highlight w:val="none"/>
                <w:lang w:val="en-US" w:eastAsia="zh-CN"/>
              </w:rPr>
              <w:t>杨纬丽</w:t>
            </w:r>
          </w:p>
          <w:p w14:paraId="468FC271">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lang w:val="en-US" w:eastAsia="zh-CN"/>
              </w:rPr>
              <w:t>丛百明</w:t>
            </w:r>
          </w:p>
        </w:tc>
        <w:tc>
          <w:tcPr>
            <w:tcW w:w="1363" w:type="pct"/>
            <w:vAlign w:val="center"/>
          </w:tcPr>
          <w:p w14:paraId="363C7A3C">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通辽市农牧业科学院</w:t>
            </w:r>
          </w:p>
        </w:tc>
        <w:tc>
          <w:tcPr>
            <w:tcW w:w="2382" w:type="pct"/>
            <w:vAlign w:val="center"/>
          </w:tcPr>
          <w:p w14:paraId="5359B082">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负责验证和标准修改</w:t>
            </w:r>
          </w:p>
        </w:tc>
      </w:tr>
      <w:tr w14:paraId="6B484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4" w:type="pct"/>
            <w:vAlign w:val="center"/>
          </w:tcPr>
          <w:p w14:paraId="7782C63A">
            <w:pPr>
              <w:pStyle w:val="41"/>
              <w:spacing w:line="240" w:lineRule="auto"/>
              <w:ind w:left="0" w:leftChars="0" w:firstLine="0" w:firstLineChars="0"/>
              <w:jc w:val="center"/>
              <w:rPr>
                <w:rStyle w:val="66"/>
                <w:rFonts w:hint="eastAsia" w:eastAsia="宋体"/>
                <w:spacing w:val="0"/>
                <w:kern w:val="0"/>
                <w:sz w:val="21"/>
                <w:szCs w:val="21"/>
                <w:highlight w:val="none"/>
                <w:lang w:val="en-US" w:eastAsia="zh-CN"/>
              </w:rPr>
            </w:pPr>
            <w:r>
              <w:rPr>
                <w:rStyle w:val="66"/>
                <w:rFonts w:hint="eastAsia" w:eastAsia="宋体"/>
                <w:spacing w:val="0"/>
                <w:kern w:val="0"/>
                <w:sz w:val="21"/>
                <w:szCs w:val="21"/>
                <w:highlight w:val="none"/>
                <w:lang w:val="en-US" w:eastAsia="zh-CN"/>
              </w:rPr>
              <w:t>范仁春</w:t>
            </w:r>
          </w:p>
          <w:p w14:paraId="3CE4CF4E">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lang w:val="en-US" w:eastAsia="zh-CN"/>
              </w:rPr>
              <w:t>杨帆</w:t>
            </w:r>
          </w:p>
        </w:tc>
        <w:tc>
          <w:tcPr>
            <w:tcW w:w="1363" w:type="pct"/>
            <w:vAlign w:val="center"/>
          </w:tcPr>
          <w:p w14:paraId="660C067A">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中国科学院遗传与发育生物学研究所</w:t>
            </w:r>
          </w:p>
        </w:tc>
        <w:tc>
          <w:tcPr>
            <w:tcW w:w="2382" w:type="pct"/>
            <w:vAlign w:val="center"/>
          </w:tcPr>
          <w:p w14:paraId="058E3296">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负责确定标准主要技术指标和技术内容</w:t>
            </w:r>
          </w:p>
        </w:tc>
      </w:tr>
      <w:tr w14:paraId="38BE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4" w:type="pct"/>
            <w:vAlign w:val="center"/>
          </w:tcPr>
          <w:p w14:paraId="4A8DC11A">
            <w:pPr>
              <w:pStyle w:val="41"/>
              <w:spacing w:line="240" w:lineRule="auto"/>
              <w:ind w:left="0" w:leftChars="0" w:firstLine="0" w:firstLineChars="0"/>
              <w:jc w:val="center"/>
              <w:rPr>
                <w:rStyle w:val="66"/>
                <w:rFonts w:hint="eastAsia" w:eastAsia="宋体"/>
                <w:spacing w:val="0"/>
                <w:kern w:val="0"/>
                <w:sz w:val="21"/>
                <w:szCs w:val="21"/>
                <w:highlight w:val="none"/>
                <w:lang w:val="en-US" w:eastAsia="zh-CN"/>
              </w:rPr>
            </w:pPr>
            <w:r>
              <w:rPr>
                <w:rStyle w:val="66"/>
                <w:rFonts w:hint="eastAsia" w:eastAsia="宋体"/>
                <w:spacing w:val="0"/>
                <w:kern w:val="0"/>
                <w:sz w:val="21"/>
                <w:szCs w:val="21"/>
                <w:highlight w:val="none"/>
                <w:lang w:val="en-US" w:eastAsia="zh-CN"/>
              </w:rPr>
              <w:t>雷蕾</w:t>
            </w:r>
          </w:p>
          <w:p w14:paraId="523BE164">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lang w:val="en-US" w:eastAsia="zh-CN"/>
              </w:rPr>
              <w:t>李斯琴高娃</w:t>
            </w:r>
          </w:p>
        </w:tc>
        <w:tc>
          <w:tcPr>
            <w:tcW w:w="1363" w:type="pct"/>
            <w:vAlign w:val="center"/>
          </w:tcPr>
          <w:p w14:paraId="15DB9D55">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通辽市农牧业科学院</w:t>
            </w:r>
          </w:p>
        </w:tc>
        <w:tc>
          <w:tcPr>
            <w:tcW w:w="2382" w:type="pct"/>
            <w:vAlign w:val="center"/>
          </w:tcPr>
          <w:p w14:paraId="2CBAFEDF">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负责国内外相关技术资料的搜集</w:t>
            </w:r>
          </w:p>
        </w:tc>
      </w:tr>
      <w:tr w14:paraId="22CF6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4" w:type="pct"/>
            <w:vAlign w:val="center"/>
          </w:tcPr>
          <w:p w14:paraId="0282D246">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lang w:val="en-US" w:eastAsia="zh-CN"/>
              </w:rPr>
              <w:t>李志凤</w:t>
            </w:r>
          </w:p>
        </w:tc>
        <w:tc>
          <w:tcPr>
            <w:tcW w:w="1363" w:type="pct"/>
            <w:vAlign w:val="center"/>
          </w:tcPr>
          <w:p w14:paraId="77973ED4">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通辽市农牧业科学院</w:t>
            </w:r>
          </w:p>
        </w:tc>
        <w:tc>
          <w:tcPr>
            <w:tcW w:w="2382" w:type="pct"/>
            <w:vAlign w:val="center"/>
          </w:tcPr>
          <w:p w14:paraId="2BF1DE83">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征求意见及标准文稿编辑整理</w:t>
            </w:r>
          </w:p>
        </w:tc>
      </w:tr>
      <w:tr w14:paraId="1F0C2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4" w:type="pct"/>
            <w:vAlign w:val="center"/>
          </w:tcPr>
          <w:p w14:paraId="4B7E599E">
            <w:pPr>
              <w:pStyle w:val="41"/>
              <w:spacing w:line="240" w:lineRule="auto"/>
              <w:ind w:left="0" w:leftChars="0" w:firstLine="0" w:firstLineChars="0"/>
              <w:jc w:val="center"/>
              <w:rPr>
                <w:rStyle w:val="66"/>
                <w:rFonts w:hint="eastAsia" w:eastAsia="宋体"/>
                <w:spacing w:val="0"/>
                <w:kern w:val="0"/>
                <w:sz w:val="21"/>
                <w:szCs w:val="21"/>
                <w:highlight w:val="none"/>
                <w:lang w:val="en-US" w:eastAsia="zh-CN"/>
              </w:rPr>
            </w:pPr>
            <w:r>
              <w:rPr>
                <w:rStyle w:val="66"/>
                <w:rFonts w:hint="eastAsia" w:eastAsia="宋体"/>
                <w:spacing w:val="0"/>
                <w:kern w:val="0"/>
                <w:sz w:val="21"/>
                <w:szCs w:val="21"/>
                <w:highlight w:val="none"/>
                <w:lang w:val="en-US" w:eastAsia="zh-CN"/>
              </w:rPr>
              <w:t>朱家平</w:t>
            </w:r>
          </w:p>
          <w:p w14:paraId="4AFE0704">
            <w:pPr>
              <w:pStyle w:val="41"/>
              <w:spacing w:line="240" w:lineRule="auto"/>
              <w:ind w:left="0" w:leftChars="0" w:firstLine="0" w:firstLineChars="0"/>
              <w:jc w:val="center"/>
              <w:rPr>
                <w:rStyle w:val="66"/>
                <w:rFonts w:hint="eastAsia" w:eastAsia="宋体"/>
                <w:spacing w:val="0"/>
                <w:kern w:val="0"/>
                <w:sz w:val="21"/>
                <w:szCs w:val="21"/>
                <w:highlight w:val="none"/>
                <w:lang w:val="en-US" w:eastAsia="zh-CN"/>
              </w:rPr>
            </w:pPr>
            <w:r>
              <w:rPr>
                <w:rStyle w:val="66"/>
                <w:rFonts w:hint="eastAsia" w:eastAsia="宋体"/>
                <w:spacing w:val="0"/>
                <w:kern w:val="0"/>
                <w:sz w:val="21"/>
                <w:szCs w:val="21"/>
                <w:highlight w:val="none"/>
                <w:lang w:val="en-US" w:eastAsia="zh-CN"/>
              </w:rPr>
              <w:t>柯祥生</w:t>
            </w:r>
          </w:p>
          <w:p w14:paraId="219F509A">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lang w:val="en-US" w:eastAsia="zh-CN"/>
              </w:rPr>
              <w:t>岳晓虹</w:t>
            </w:r>
          </w:p>
        </w:tc>
        <w:tc>
          <w:tcPr>
            <w:tcW w:w="1363" w:type="pct"/>
            <w:vAlign w:val="center"/>
          </w:tcPr>
          <w:p w14:paraId="0F1AFB38">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中国科学院遗传与发育生物学研究所</w:t>
            </w:r>
          </w:p>
        </w:tc>
        <w:tc>
          <w:tcPr>
            <w:tcW w:w="2382" w:type="pct"/>
            <w:vAlign w:val="center"/>
          </w:tcPr>
          <w:p w14:paraId="69D4E1D2">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标准主要指标和技术内容的制定及</w:t>
            </w:r>
          </w:p>
          <w:p w14:paraId="0A5ADAF7">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试验验证</w:t>
            </w:r>
          </w:p>
        </w:tc>
      </w:tr>
      <w:tr w14:paraId="33CD0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4" w:type="pct"/>
            <w:vAlign w:val="center"/>
          </w:tcPr>
          <w:p w14:paraId="5DC117F1">
            <w:pPr>
              <w:pStyle w:val="41"/>
              <w:spacing w:line="240" w:lineRule="auto"/>
              <w:ind w:left="0" w:leftChars="0" w:firstLine="0" w:firstLineChars="0"/>
              <w:jc w:val="center"/>
              <w:rPr>
                <w:rStyle w:val="66"/>
                <w:rFonts w:hint="eastAsia" w:eastAsia="宋体"/>
                <w:spacing w:val="0"/>
                <w:kern w:val="0"/>
                <w:sz w:val="21"/>
                <w:szCs w:val="21"/>
                <w:highlight w:val="none"/>
                <w:lang w:val="en-US" w:eastAsia="zh-CN"/>
              </w:rPr>
            </w:pPr>
            <w:r>
              <w:rPr>
                <w:rStyle w:val="66"/>
                <w:rFonts w:hint="eastAsia" w:eastAsia="宋体"/>
                <w:spacing w:val="0"/>
                <w:kern w:val="0"/>
                <w:sz w:val="21"/>
                <w:szCs w:val="21"/>
                <w:highlight w:val="none"/>
                <w:lang w:val="en-US" w:eastAsia="zh-CN"/>
              </w:rPr>
              <w:t>冯兆新</w:t>
            </w:r>
          </w:p>
          <w:p w14:paraId="58631CBA">
            <w:pPr>
              <w:pStyle w:val="41"/>
              <w:spacing w:line="240" w:lineRule="auto"/>
              <w:ind w:left="0" w:leftChars="0" w:firstLine="0" w:firstLineChars="0"/>
              <w:jc w:val="center"/>
              <w:rPr>
                <w:rStyle w:val="66"/>
                <w:rFonts w:hint="eastAsia" w:eastAsia="宋体"/>
                <w:spacing w:val="0"/>
                <w:kern w:val="0"/>
                <w:sz w:val="21"/>
                <w:szCs w:val="21"/>
                <w:highlight w:val="none"/>
                <w:lang w:val="en-US" w:eastAsia="zh-CN"/>
              </w:rPr>
            </w:pPr>
            <w:r>
              <w:rPr>
                <w:rStyle w:val="66"/>
                <w:rFonts w:hint="eastAsia" w:eastAsia="宋体"/>
                <w:spacing w:val="0"/>
                <w:kern w:val="0"/>
                <w:sz w:val="21"/>
                <w:szCs w:val="21"/>
                <w:highlight w:val="none"/>
                <w:lang w:val="en-US" w:eastAsia="zh-CN"/>
              </w:rPr>
              <w:t>刘洋</w:t>
            </w:r>
          </w:p>
          <w:p w14:paraId="25395083">
            <w:pPr>
              <w:pStyle w:val="41"/>
              <w:spacing w:line="240" w:lineRule="auto"/>
              <w:ind w:left="0" w:leftChars="0" w:firstLine="0" w:firstLineChars="0"/>
              <w:jc w:val="center"/>
              <w:rPr>
                <w:rStyle w:val="66"/>
                <w:rFonts w:hint="eastAsia" w:eastAsia="宋体"/>
                <w:spacing w:val="0"/>
                <w:kern w:val="0"/>
                <w:sz w:val="21"/>
                <w:szCs w:val="21"/>
                <w:highlight w:val="none"/>
                <w:lang w:val="en-US" w:eastAsia="zh-CN"/>
              </w:rPr>
            </w:pPr>
            <w:r>
              <w:rPr>
                <w:rStyle w:val="66"/>
                <w:rFonts w:hint="eastAsia" w:eastAsia="宋体"/>
                <w:spacing w:val="0"/>
                <w:kern w:val="0"/>
                <w:sz w:val="21"/>
                <w:szCs w:val="21"/>
                <w:highlight w:val="none"/>
                <w:lang w:val="en-US" w:eastAsia="zh-CN"/>
              </w:rPr>
              <w:t>张世江</w:t>
            </w:r>
          </w:p>
          <w:p w14:paraId="3FEF0337">
            <w:pPr>
              <w:pStyle w:val="41"/>
              <w:spacing w:line="240" w:lineRule="auto"/>
              <w:ind w:left="0" w:leftChars="0" w:firstLine="0" w:firstLineChars="0"/>
              <w:jc w:val="center"/>
              <w:rPr>
                <w:rStyle w:val="66"/>
                <w:rFonts w:hint="eastAsia" w:eastAsia="宋体"/>
                <w:spacing w:val="0"/>
                <w:kern w:val="0"/>
                <w:sz w:val="21"/>
                <w:szCs w:val="21"/>
                <w:highlight w:val="none"/>
                <w:lang w:val="en-US" w:eastAsia="zh-CN"/>
              </w:rPr>
            </w:pPr>
            <w:r>
              <w:rPr>
                <w:rStyle w:val="66"/>
                <w:rFonts w:hint="eastAsia" w:eastAsia="宋体"/>
                <w:spacing w:val="0"/>
                <w:kern w:val="0"/>
                <w:sz w:val="21"/>
                <w:szCs w:val="21"/>
                <w:highlight w:val="none"/>
                <w:lang w:val="en-US" w:eastAsia="zh-CN"/>
              </w:rPr>
              <w:t>马龙水</w:t>
            </w:r>
          </w:p>
        </w:tc>
        <w:tc>
          <w:tcPr>
            <w:tcW w:w="1363" w:type="pct"/>
            <w:vAlign w:val="center"/>
          </w:tcPr>
          <w:p w14:paraId="477B8F2B">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通辽市农牧业科学院</w:t>
            </w:r>
          </w:p>
        </w:tc>
        <w:tc>
          <w:tcPr>
            <w:tcW w:w="2382" w:type="pct"/>
            <w:vAlign w:val="center"/>
          </w:tcPr>
          <w:p w14:paraId="4FB6A284">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参与标准试验验证</w:t>
            </w:r>
          </w:p>
        </w:tc>
      </w:tr>
      <w:tr w14:paraId="3BA02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4" w:type="pct"/>
            <w:vAlign w:val="center"/>
          </w:tcPr>
          <w:p w14:paraId="557E6432">
            <w:pPr>
              <w:pStyle w:val="41"/>
              <w:spacing w:line="240" w:lineRule="auto"/>
              <w:ind w:left="0" w:leftChars="0" w:firstLine="0" w:firstLineChars="0"/>
              <w:jc w:val="center"/>
              <w:rPr>
                <w:rStyle w:val="66"/>
                <w:rFonts w:hint="eastAsia" w:eastAsia="宋体"/>
                <w:spacing w:val="0"/>
                <w:kern w:val="0"/>
                <w:sz w:val="21"/>
                <w:szCs w:val="21"/>
                <w:highlight w:val="none"/>
                <w:lang w:val="en-US" w:eastAsia="zh-CN"/>
              </w:rPr>
            </w:pPr>
            <w:r>
              <w:rPr>
                <w:rStyle w:val="66"/>
                <w:rFonts w:hint="eastAsia" w:eastAsia="宋体"/>
                <w:spacing w:val="0"/>
                <w:kern w:val="0"/>
                <w:sz w:val="21"/>
                <w:szCs w:val="21"/>
                <w:highlight w:val="none"/>
                <w:lang w:val="en-US" w:eastAsia="zh-CN"/>
              </w:rPr>
              <w:t>王丹、董志强、何智彪、李岩、杨立巍、褚景芬、杨柳青、孙晓梅、叶英杰、崔凤娟、张智勇、郭方亮、董志鹏、耿思齐、路宽、王新虎</w:t>
            </w:r>
          </w:p>
        </w:tc>
        <w:tc>
          <w:tcPr>
            <w:tcW w:w="1363" w:type="pct"/>
            <w:vAlign w:val="center"/>
          </w:tcPr>
          <w:p w14:paraId="787F5627">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通辽市农牧业科学院</w:t>
            </w:r>
          </w:p>
        </w:tc>
        <w:tc>
          <w:tcPr>
            <w:tcW w:w="2382" w:type="pct"/>
            <w:vAlign w:val="center"/>
          </w:tcPr>
          <w:p w14:paraId="62F07766">
            <w:pPr>
              <w:pStyle w:val="41"/>
              <w:spacing w:line="240" w:lineRule="auto"/>
              <w:ind w:left="0" w:leftChars="0" w:firstLine="0" w:firstLineChars="0"/>
              <w:jc w:val="center"/>
              <w:rPr>
                <w:rStyle w:val="66"/>
                <w:rFonts w:hint="eastAsia" w:eastAsia="宋体"/>
                <w:spacing w:val="0"/>
                <w:kern w:val="0"/>
                <w:sz w:val="21"/>
                <w:szCs w:val="21"/>
                <w:highlight w:val="none"/>
              </w:rPr>
            </w:pPr>
            <w:r>
              <w:rPr>
                <w:rStyle w:val="66"/>
                <w:rFonts w:hint="eastAsia" w:eastAsia="宋体"/>
                <w:spacing w:val="0"/>
                <w:kern w:val="0"/>
                <w:sz w:val="21"/>
                <w:szCs w:val="21"/>
                <w:highlight w:val="none"/>
              </w:rPr>
              <w:t>技术资料整理与标准文稿校对编制工作</w:t>
            </w:r>
          </w:p>
        </w:tc>
      </w:tr>
    </w:tbl>
    <w:p w14:paraId="1F4DB088">
      <w:pPr>
        <w:spacing w:line="360" w:lineRule="auto"/>
        <w:jc w:val="left"/>
        <w:rPr>
          <w:rFonts w:hint="eastAsia" w:ascii="Times New Roman" w:hAnsi="Times New Roman" w:eastAsia="Arial" w:cs="Arial"/>
          <w:snapToGrid w:val="0"/>
          <w:color w:val="000000"/>
          <w:kern w:val="0"/>
          <w:sz w:val="24"/>
          <w:szCs w:val="24"/>
          <w:lang w:val="en-US" w:eastAsia="zh-CN"/>
          <w14:ligatures w14:val="none"/>
        </w:rPr>
      </w:pPr>
    </w:p>
    <w:p w14:paraId="4A80C51A">
      <w:pPr>
        <w:pStyle w:val="41"/>
        <w:numPr>
          <w:ilvl w:val="0"/>
          <w:numId w:val="2"/>
        </w:numPr>
        <w:spacing w:line="360" w:lineRule="auto"/>
        <w:ind w:left="0" w:leftChars="0" w:firstLine="420" w:firstLineChars="0"/>
        <w:jc w:val="left"/>
        <w:outlineLvl w:val="0"/>
        <w:rPr>
          <w:rFonts w:ascii="Times New Roman" w:hAnsi="Times New Roman" w:eastAsia="宋体" w:cs="Times New Roman"/>
          <w:b/>
          <w:bCs/>
          <w:kern w:val="44"/>
          <w:sz w:val="28"/>
          <w:szCs w:val="44"/>
        </w:rPr>
      </w:pPr>
      <w:bookmarkStart w:id="13" w:name="_Toc213659362"/>
      <w:bookmarkStart w:id="14" w:name="_Toc32554"/>
      <w:r>
        <w:rPr>
          <w:rFonts w:hint="eastAsia" w:ascii="Times New Roman" w:hAnsi="Times New Roman" w:eastAsia="宋体" w:cs="Times New Roman"/>
          <w:b/>
          <w:bCs/>
          <w:kern w:val="44"/>
          <w:sz w:val="28"/>
          <w:szCs w:val="44"/>
        </w:rPr>
        <w:t>标准编制原则、主要内容及其确定依据</w:t>
      </w:r>
      <w:bookmarkEnd w:id="13"/>
      <w:bookmarkEnd w:id="14"/>
    </w:p>
    <w:p w14:paraId="1007DC08">
      <w:pPr>
        <w:numPr>
          <w:ilvl w:val="0"/>
          <w:numId w:val="5"/>
        </w:numPr>
        <w:spacing w:line="360" w:lineRule="auto"/>
        <w:ind w:left="0" w:leftChars="0" w:firstLine="420" w:firstLineChars="0"/>
        <w:jc w:val="left"/>
        <w:outlineLvl w:val="1"/>
        <w:rPr>
          <w:rFonts w:hint="eastAsia" w:ascii="方正仿宋_GB2312" w:hAnsi="方正仿宋_GB2312" w:eastAsia="方正仿宋_GB2312" w:cs="方正仿宋_GB2312"/>
          <w:b/>
          <w:snapToGrid w:val="0"/>
          <w:color w:val="000000"/>
          <w:kern w:val="44"/>
          <w:sz w:val="24"/>
          <w:szCs w:val="24"/>
          <w:lang w:val="en-US" w:eastAsia="zh-CN" w:bidi="ar-SA"/>
          <w14:ligatures w14:val="none"/>
        </w:rPr>
      </w:pPr>
      <w:bookmarkStart w:id="15" w:name="_Toc20045"/>
      <w:r>
        <w:rPr>
          <w:rFonts w:hint="eastAsia" w:ascii="方正仿宋_GB2312" w:hAnsi="方正仿宋_GB2312" w:eastAsia="方正仿宋_GB2312" w:cs="方正仿宋_GB2312"/>
          <w:b/>
          <w:snapToGrid w:val="0"/>
          <w:color w:val="000000"/>
          <w:kern w:val="44"/>
          <w:sz w:val="24"/>
          <w:szCs w:val="24"/>
          <w:lang w:val="en-US" w:eastAsia="zh-CN" w:bidi="ar-SA"/>
          <w14:ligatures w14:val="none"/>
        </w:rPr>
        <w:t>编制原则</w:t>
      </w:r>
      <w:bookmarkEnd w:id="15"/>
    </w:p>
    <w:p w14:paraId="495659F9">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项目聚焦通辽市盐碱耕地治理与高效利用。通辽市盐碱化耕地总面积达388.89万亩，其中重度盐碱地43.67万亩，这类土地保水保肥能力差，限制常规作物种植。田菁是耐重度盐碱、固氮强、耐涝性强的豆科先锋饲草作物，是改良重度盐碱地与优质蛋白饲料替代的优良种质资源。</w:t>
      </w:r>
    </w:p>
    <w:p w14:paraId="3CD2516F">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《国务院关于推动内蒙古高质量发展奋力书写中国式现代化新篇章的意见》（国发〔2023〕16号）明确支持符合条件的地方开展盐碱地综合利用，加强现有盐碱耕地改造提升。2026 年中央一号文件《中共中央国务院关于锚定农业农村现代化扎实推进乡村全面振兴的意见》要求加大土壤改良和地力提升力度，扎实推进盐碱地综合利用。2024年国家发展改革委、农业农村部、林业和草原局联合发布《关于推动饲草产业高质量发展的意见》（发改农经〔2024〕1579号），将田菁列入中重度盐碱地适宜草种，2025年农业农村部《养殖业节粮行动实施方案》（农办牧〔2025〕15号）将田菁列入种草改盐为主的盐碱地治理和利用模式。</w:t>
      </w:r>
    </w:p>
    <w:p w14:paraId="07B5102F">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这些政策为规程制定提供了坚实的政策支撑和方向指引。作为重要的耕地后备资源，重度盐碱耕地的高效开发利用对区域农业发展至关重要。</w:t>
      </w:r>
    </w:p>
    <w:p w14:paraId="760117A6">
      <w:pPr>
        <w:numPr>
          <w:ilvl w:val="0"/>
          <w:numId w:val="5"/>
        </w:numPr>
        <w:spacing w:line="360" w:lineRule="auto"/>
        <w:ind w:left="0" w:leftChars="0" w:firstLine="420" w:firstLineChars="0"/>
        <w:jc w:val="left"/>
        <w:outlineLvl w:val="1"/>
        <w:rPr>
          <w:rFonts w:hint="eastAsia" w:ascii="方正仿宋_GB2312" w:hAnsi="方正仿宋_GB2312" w:eastAsia="方正仿宋_GB2312" w:cs="方正仿宋_GB2312"/>
          <w:b/>
          <w:snapToGrid w:val="0"/>
          <w:color w:val="000000"/>
          <w:kern w:val="44"/>
          <w:sz w:val="24"/>
          <w:szCs w:val="24"/>
          <w:lang w:val="en-US" w:eastAsia="zh-CN" w:bidi="ar-SA"/>
          <w14:ligatures w14:val="none"/>
        </w:rPr>
      </w:pPr>
      <w:bookmarkStart w:id="16" w:name="_Toc23472"/>
      <w:r>
        <w:rPr>
          <w:rFonts w:hint="eastAsia" w:ascii="方正仿宋_GB2312" w:hAnsi="方正仿宋_GB2312" w:eastAsia="方正仿宋_GB2312" w:cs="方正仿宋_GB2312"/>
          <w:b/>
          <w:snapToGrid w:val="0"/>
          <w:color w:val="000000"/>
          <w:kern w:val="44"/>
          <w:sz w:val="24"/>
          <w:szCs w:val="24"/>
          <w:lang w:val="en-US" w:eastAsia="zh-CN" w:bidi="ar-SA"/>
          <w14:ligatures w14:val="none"/>
        </w:rPr>
        <w:t>主要内容及确定依据</w:t>
      </w:r>
      <w:bookmarkEnd w:id="16"/>
    </w:p>
    <w:p w14:paraId="66168A68">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本标准规范了中重度盐碱地田菁高产栽培的技术要求，整合机械条播、浅埋滴灌、水肥一体化等高效节水技术，规范“两垄四行”种植布局、浅埋滴灌管护、分生育期灌溉施肥参数和水肥一体化配比，构建适配区域盐碱耕地的田菁标准化栽培体系，完整规范整地、播种、灌溉、施肥、绿色防控、刈割与籽粒收获全流程操作参数。</w:t>
      </w:r>
    </w:p>
    <w:p w14:paraId="5BD0EA43">
      <w:pPr>
        <w:pStyle w:val="41"/>
        <w:numPr>
          <w:ilvl w:val="0"/>
          <w:numId w:val="2"/>
        </w:numPr>
        <w:spacing w:line="360" w:lineRule="auto"/>
        <w:ind w:left="0" w:leftChars="0" w:firstLine="420" w:firstLineChars="0"/>
        <w:jc w:val="left"/>
        <w:outlineLvl w:val="0"/>
        <w:rPr>
          <w:rFonts w:hint="eastAsia" w:ascii="Times New Roman" w:hAnsi="Times New Roman" w:eastAsia="宋体" w:cs="Times New Roman"/>
          <w:b/>
          <w:bCs/>
          <w:kern w:val="44"/>
          <w:sz w:val="28"/>
          <w:szCs w:val="44"/>
          <w:lang w:val="en-US" w:eastAsia="zh-CN" w:bidi="ar-SA"/>
          <w14:ligatures w14:val="standardContextual"/>
        </w:rPr>
      </w:pPr>
      <w:bookmarkStart w:id="17" w:name="_Toc16784"/>
      <w:r>
        <w:rPr>
          <w:rFonts w:hint="eastAsia" w:ascii="Times New Roman" w:hAnsi="Times New Roman" w:eastAsia="宋体" w:cs="Times New Roman"/>
          <w:b/>
          <w:bCs/>
          <w:kern w:val="44"/>
          <w:sz w:val="28"/>
          <w:szCs w:val="44"/>
          <w:lang w:val="en-US" w:eastAsia="zh-CN" w:bidi="ar-SA"/>
          <w14:ligatures w14:val="standardContextual"/>
        </w:rPr>
        <w:t>主要试验验证的分析</w:t>
      </w:r>
      <w:bookmarkEnd w:id="17"/>
    </w:p>
    <w:p w14:paraId="27C4BC15">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本标准全部技术参数均依托通辽市农牧业科学院连续定位田间试验数据形成，已完成两年两点规范验证试验，试验基础充分、数据支撑可靠。</w:t>
      </w:r>
    </w:p>
    <w:p w14:paraId="41BEF4D1">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选取通辽市两处代表性中重度盐碱耕地作为固定试验基地，覆盖区域均为中重度盐碱地，试验代表性强。点位一为架玛吐镇田菁盐碱地改良示范基地 100 亩，pH 为 10.3，盐度 6‰；点位二为胜利乡田菁盐碱地改良示范基地 200 亩，pH 为 10.6，盐度 5.6‰。连续开展 2 个完整生产年度（2024 年、2025 年）规模化大田示范，围绕播种、灌溉、水肥耦合设置多组梯度处理，持续跟踪测定不同盐碱梯度下田菁出苗状况、植株生长指标、饲草产量等关键数据。</w:t>
      </w:r>
    </w:p>
    <w:p w14:paraId="503ACFB1">
      <w:pPr>
        <w:pStyle w:val="41"/>
        <w:numPr>
          <w:ilvl w:val="0"/>
          <w:numId w:val="6"/>
        </w:numPr>
        <w:spacing w:line="360" w:lineRule="auto"/>
        <w:ind w:left="0" w:leftChars="0" w:firstLine="482" w:firstLineChars="200"/>
        <w:jc w:val="left"/>
        <w:outlineLvl w:val="1"/>
        <w:rPr>
          <w:rFonts w:hint="eastAsia" w:ascii="方正仿宋_GB2312" w:hAnsi="方正仿宋_GB2312" w:eastAsia="方正仿宋_GB2312" w:cs="方正仿宋_GB2312"/>
          <w:b/>
          <w:snapToGrid w:val="0"/>
          <w:color w:val="000000"/>
          <w:kern w:val="44"/>
          <w:sz w:val="24"/>
          <w:szCs w:val="24"/>
          <w:lang w:val="en-US" w:eastAsia="zh-CN" w:bidi="ar-SA"/>
          <w14:ligatures w14:val="none"/>
        </w:rPr>
      </w:pPr>
      <w:bookmarkStart w:id="18" w:name="_Toc10885"/>
      <w:r>
        <w:rPr>
          <w:rFonts w:hint="eastAsia" w:ascii="方正仿宋_GB2312" w:hAnsi="方正仿宋_GB2312" w:eastAsia="方正仿宋_GB2312" w:cs="方正仿宋_GB2312"/>
          <w:b/>
          <w:snapToGrid w:val="0"/>
          <w:color w:val="000000"/>
          <w:kern w:val="44"/>
          <w:sz w:val="24"/>
          <w:szCs w:val="24"/>
          <w:lang w:val="en-US" w:eastAsia="zh-CN" w:bidi="ar-SA"/>
          <w14:ligatures w14:val="none"/>
        </w:rPr>
        <w:t>不同播种量对保苗率及产量的影响试验</w:t>
      </w:r>
      <w:bookmarkEnd w:id="18"/>
    </w:p>
    <w:p w14:paraId="2E8B8DF3">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试验设 2kg/亩、3kg/亩、4kg/亩、5kg/亩、6kg/亩 5 组播种量梯度处理，统一采用标准规定的“两垄四行”机械条播模式，播深1cm～2cm，5cm 地温稳定≥15℃时统一播种，各处理田间管理措施保持一致。出苗后调查出苗率与保苗密度，生长中后期调查群体整齐度与倒伏情况，收获期测定鲜草产量。</w:t>
      </w:r>
    </w:p>
    <w:p w14:paraId="010602A2">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两年两点试验结果表明：播种量低于 3kg/亩时，田间出苗不足、群体稀疏，保苗密度难以达到适宜水平，鲜草产量偏低；播种量高于 5kg/亩时，产量并无明显提升。播种量 3kg/亩～5kg/亩时，保苗密度 1.5 万株/亩～2.0 万株/亩，群体长势良好、整齐度高，鲜草产量 1500kg/亩～2000kg/亩，确定 3kg/亩～5kg/亩为重度盐碱地最优播种区间。各处理保苗与产量表现见表 1。</w:t>
      </w:r>
    </w:p>
    <w:p w14:paraId="0A3CD410">
      <w:pPr>
        <w:pStyle w:val="41"/>
        <w:numPr>
          <w:ilvl w:val="0"/>
          <w:numId w:val="0"/>
        </w:numPr>
        <w:spacing w:line="360" w:lineRule="auto"/>
        <w:ind w:left="0" w:leftChars="0" w:firstLine="0" w:firstLineChars="0"/>
        <w:jc w:val="center"/>
        <w:outlineLvl w:val="2"/>
        <w:rPr>
          <w:rFonts w:hint="eastAsia" w:ascii="Times New Roman" w:hAnsi="Times New Roman" w:eastAsia="仿宋_GB2312" w:cs="Times New Roman"/>
          <w:kern w:val="2"/>
          <w:sz w:val="24"/>
          <w:szCs w:val="24"/>
          <w:lang w:val="en-US" w:eastAsia="zh-CN" w:bidi="ar-SA"/>
          <w14:ligatures w14:val="standardContextual"/>
        </w:rPr>
      </w:pPr>
      <w:bookmarkStart w:id="19" w:name="_Toc22295"/>
      <w:r>
        <w:rPr>
          <w:rFonts w:hint="eastAsia" w:ascii="Times New Roman" w:hAnsi="Times New Roman" w:eastAsia="仿宋_GB2312" w:cs="Times New Roman"/>
          <w:b/>
          <w:bCs/>
          <w:kern w:val="2"/>
          <w:sz w:val="24"/>
          <w:szCs w:val="24"/>
          <w:lang w:val="en-US" w:eastAsia="zh-CN" w:bidi="ar-SA"/>
          <w14:ligatures w14:val="standardContextual"/>
        </w:rPr>
        <w:t>表1  不同播种量对保苗率及产量的影响</w:t>
      </w:r>
      <w:bookmarkEnd w:id="19"/>
    </w:p>
    <w:tbl>
      <w:tblPr>
        <w:tblStyle w:val="23"/>
        <w:tblW w:w="90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19"/>
        <w:gridCol w:w="2091"/>
        <w:gridCol w:w="2714"/>
        <w:gridCol w:w="2273"/>
      </w:tblGrid>
      <w:tr w14:paraId="75410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jc w:val="center"/>
        </w:trPr>
        <w:tc>
          <w:tcPr>
            <w:tcW w:w="2019" w:type="dxa"/>
            <w:tcBorders>
              <w:top w:val="single" w:color="000000" w:sz="4" w:space="0"/>
              <w:left w:val="nil"/>
              <w:bottom w:val="single" w:color="000000" w:sz="4" w:space="0"/>
              <w:right w:val="nil"/>
            </w:tcBorders>
            <w:shd w:val="clear" w:color="auto" w:fill="auto"/>
            <w:noWrap/>
            <w:vAlign w:val="center"/>
          </w:tcPr>
          <w:p w14:paraId="36B28E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播种量（kg/亩）</w:t>
            </w:r>
          </w:p>
        </w:tc>
        <w:tc>
          <w:tcPr>
            <w:tcW w:w="2091" w:type="dxa"/>
            <w:tcBorders>
              <w:top w:val="single" w:color="000000" w:sz="4" w:space="0"/>
              <w:left w:val="nil"/>
              <w:bottom w:val="single" w:color="000000" w:sz="4" w:space="0"/>
              <w:right w:val="nil"/>
            </w:tcBorders>
            <w:shd w:val="clear" w:color="auto" w:fill="auto"/>
            <w:noWrap/>
            <w:vAlign w:val="center"/>
          </w:tcPr>
          <w:p w14:paraId="228156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保苗密度（株</w:t>
            </w:r>
            <w:r>
              <w:rPr>
                <w:rStyle w:val="60"/>
                <w:rFonts w:eastAsia="宋体"/>
                <w:sz w:val="21"/>
                <w:szCs w:val="21"/>
                <w:lang w:val="en-US" w:eastAsia="zh-CN" w:bidi="ar"/>
                <w14:ligatures w14:val="standardContextual"/>
              </w:rPr>
              <w:t>/</w:t>
            </w:r>
            <w:r>
              <w:rPr>
                <w:rStyle w:val="61"/>
                <w:sz w:val="21"/>
                <w:szCs w:val="21"/>
                <w:lang w:val="en-US" w:eastAsia="zh-CN" w:bidi="ar"/>
                <w14:ligatures w14:val="standardContextual"/>
              </w:rPr>
              <w:t>亩）</w:t>
            </w:r>
            <w:r>
              <w:rPr>
                <w:rStyle w:val="62"/>
                <w:rFonts w:eastAsia="宋体"/>
                <w:sz w:val="21"/>
                <w:szCs w:val="21"/>
                <w:lang w:val="en-US" w:eastAsia="zh-CN" w:bidi="ar"/>
                <w14:ligatures w14:val="standardContextual"/>
              </w:rPr>
              <w:t xml:space="preserve"> </w:t>
            </w:r>
          </w:p>
        </w:tc>
        <w:tc>
          <w:tcPr>
            <w:tcW w:w="2714" w:type="dxa"/>
            <w:tcBorders>
              <w:top w:val="single" w:color="000000" w:sz="4" w:space="0"/>
              <w:left w:val="nil"/>
              <w:bottom w:val="single" w:color="000000" w:sz="4" w:space="0"/>
              <w:right w:val="nil"/>
            </w:tcBorders>
            <w:shd w:val="clear" w:color="auto" w:fill="auto"/>
            <w:noWrap/>
            <w:vAlign w:val="center"/>
          </w:tcPr>
          <w:p w14:paraId="51CF48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田间长势表现</w:t>
            </w:r>
          </w:p>
        </w:tc>
        <w:tc>
          <w:tcPr>
            <w:tcW w:w="2273" w:type="dxa"/>
            <w:tcBorders>
              <w:top w:val="single" w:color="000000" w:sz="4" w:space="0"/>
              <w:left w:val="nil"/>
              <w:bottom w:val="single" w:color="000000" w:sz="4" w:space="0"/>
              <w:right w:val="nil"/>
            </w:tcBorders>
            <w:shd w:val="clear" w:color="auto" w:fill="auto"/>
            <w:noWrap/>
            <w:vAlign w:val="center"/>
          </w:tcPr>
          <w:p w14:paraId="6C00A2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 xml:space="preserve">鲜草产量（kg/亩） </w:t>
            </w:r>
          </w:p>
        </w:tc>
      </w:tr>
      <w:tr w14:paraId="5AE74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jc w:val="center"/>
        </w:trPr>
        <w:tc>
          <w:tcPr>
            <w:tcW w:w="2019" w:type="dxa"/>
            <w:tcBorders>
              <w:top w:val="nil"/>
              <w:left w:val="nil"/>
              <w:bottom w:val="nil"/>
              <w:right w:val="nil"/>
            </w:tcBorders>
            <w:shd w:val="clear" w:color="auto" w:fill="auto"/>
            <w:noWrap/>
            <w:vAlign w:val="center"/>
          </w:tcPr>
          <w:p w14:paraId="63370C31">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default" w:ascii="Courier New" w:hAnsi="Courier New" w:eastAsia="宋体" w:cs="Courier New"/>
                <w:i w:val="0"/>
                <w:iCs w:val="0"/>
                <w:color w:val="000000"/>
                <w:sz w:val="21"/>
                <w:szCs w:val="21"/>
                <w:u w:val="none"/>
              </w:rPr>
            </w:pPr>
            <w:r>
              <w:rPr>
                <w:rFonts w:hint="default" w:ascii="Courier New" w:hAnsi="Courier New" w:eastAsia="宋体" w:cs="Courier New"/>
                <w:i w:val="0"/>
                <w:iCs w:val="0"/>
                <w:color w:val="000000"/>
                <w:kern w:val="0"/>
                <w:sz w:val="21"/>
                <w:szCs w:val="21"/>
                <w:u w:val="none"/>
                <w:lang w:val="en-US" w:eastAsia="zh-CN" w:bidi="ar"/>
                <w14:ligatures w14:val="standardContextual"/>
              </w:rPr>
              <w:t>2</w:t>
            </w:r>
          </w:p>
        </w:tc>
        <w:tc>
          <w:tcPr>
            <w:tcW w:w="2091" w:type="dxa"/>
            <w:tcBorders>
              <w:top w:val="nil"/>
              <w:left w:val="nil"/>
              <w:bottom w:val="nil"/>
              <w:right w:val="nil"/>
            </w:tcBorders>
            <w:shd w:val="clear" w:color="auto" w:fill="auto"/>
            <w:noWrap/>
            <w:vAlign w:val="center"/>
          </w:tcPr>
          <w:p w14:paraId="62220E7A">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12563</w:t>
            </w:r>
          </w:p>
        </w:tc>
        <w:tc>
          <w:tcPr>
            <w:tcW w:w="2714" w:type="dxa"/>
            <w:tcBorders>
              <w:top w:val="nil"/>
              <w:left w:val="nil"/>
              <w:bottom w:val="nil"/>
              <w:right w:val="nil"/>
            </w:tcBorders>
            <w:shd w:val="clear" w:color="auto" w:fill="auto"/>
            <w:noWrap/>
            <w:vAlign w:val="center"/>
          </w:tcPr>
          <w:p w14:paraId="38B4EA85">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群体稀疏、长势弱</w:t>
            </w:r>
          </w:p>
        </w:tc>
        <w:tc>
          <w:tcPr>
            <w:tcW w:w="2273" w:type="dxa"/>
            <w:tcBorders>
              <w:top w:val="nil"/>
              <w:left w:val="nil"/>
              <w:bottom w:val="nil"/>
              <w:right w:val="nil"/>
            </w:tcBorders>
            <w:shd w:val="clear" w:color="auto" w:fill="auto"/>
            <w:noWrap/>
            <w:vAlign w:val="center"/>
          </w:tcPr>
          <w:p w14:paraId="3999B8A6">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1252</w:t>
            </w:r>
          </w:p>
        </w:tc>
      </w:tr>
      <w:tr w14:paraId="019ED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2019" w:type="dxa"/>
            <w:tcBorders>
              <w:top w:val="nil"/>
              <w:left w:val="nil"/>
              <w:bottom w:val="nil"/>
              <w:right w:val="nil"/>
            </w:tcBorders>
            <w:shd w:val="clear" w:color="auto" w:fill="auto"/>
            <w:noWrap/>
            <w:vAlign w:val="center"/>
          </w:tcPr>
          <w:p w14:paraId="026CF6F7">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3</w:t>
            </w:r>
          </w:p>
        </w:tc>
        <w:tc>
          <w:tcPr>
            <w:tcW w:w="2091" w:type="dxa"/>
            <w:tcBorders>
              <w:top w:val="nil"/>
              <w:left w:val="nil"/>
              <w:bottom w:val="nil"/>
              <w:right w:val="nil"/>
            </w:tcBorders>
            <w:shd w:val="clear" w:color="auto" w:fill="auto"/>
            <w:noWrap/>
            <w:vAlign w:val="center"/>
          </w:tcPr>
          <w:p w14:paraId="564214DA">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15332</w:t>
            </w:r>
          </w:p>
        </w:tc>
        <w:tc>
          <w:tcPr>
            <w:tcW w:w="2714" w:type="dxa"/>
            <w:tcBorders>
              <w:top w:val="nil"/>
              <w:left w:val="nil"/>
              <w:bottom w:val="nil"/>
              <w:right w:val="nil"/>
            </w:tcBorders>
            <w:shd w:val="clear" w:color="auto" w:fill="auto"/>
            <w:vAlign w:val="center"/>
          </w:tcPr>
          <w:p w14:paraId="6404A7FA">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群体长势较好、整齐度高</w:t>
            </w:r>
          </w:p>
        </w:tc>
        <w:tc>
          <w:tcPr>
            <w:tcW w:w="2273" w:type="dxa"/>
            <w:tcBorders>
              <w:top w:val="nil"/>
              <w:left w:val="nil"/>
              <w:bottom w:val="nil"/>
              <w:right w:val="nil"/>
            </w:tcBorders>
            <w:shd w:val="clear" w:color="auto" w:fill="auto"/>
            <w:noWrap/>
            <w:vAlign w:val="center"/>
          </w:tcPr>
          <w:p w14:paraId="197011F4">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1581</w:t>
            </w:r>
          </w:p>
        </w:tc>
      </w:tr>
      <w:tr w14:paraId="22AC2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2019" w:type="dxa"/>
            <w:tcBorders>
              <w:top w:val="nil"/>
              <w:left w:val="nil"/>
              <w:bottom w:val="nil"/>
              <w:right w:val="nil"/>
            </w:tcBorders>
            <w:shd w:val="clear" w:color="auto" w:fill="auto"/>
            <w:noWrap/>
            <w:vAlign w:val="center"/>
          </w:tcPr>
          <w:p w14:paraId="68EDBE2F">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4</w:t>
            </w:r>
          </w:p>
        </w:tc>
        <w:tc>
          <w:tcPr>
            <w:tcW w:w="2091" w:type="dxa"/>
            <w:tcBorders>
              <w:top w:val="nil"/>
              <w:left w:val="nil"/>
              <w:bottom w:val="nil"/>
              <w:right w:val="nil"/>
            </w:tcBorders>
            <w:shd w:val="clear" w:color="auto" w:fill="auto"/>
            <w:noWrap/>
            <w:vAlign w:val="center"/>
          </w:tcPr>
          <w:p w14:paraId="035D8343">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17687</w:t>
            </w:r>
          </w:p>
        </w:tc>
        <w:tc>
          <w:tcPr>
            <w:tcW w:w="2714" w:type="dxa"/>
            <w:tcBorders>
              <w:top w:val="nil"/>
              <w:left w:val="nil"/>
              <w:bottom w:val="nil"/>
              <w:right w:val="nil"/>
            </w:tcBorders>
            <w:shd w:val="clear" w:color="auto" w:fill="auto"/>
            <w:vAlign w:val="center"/>
          </w:tcPr>
          <w:p w14:paraId="34B68FF1">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群体长势良好、整齐度高</w:t>
            </w:r>
          </w:p>
        </w:tc>
        <w:tc>
          <w:tcPr>
            <w:tcW w:w="2273" w:type="dxa"/>
            <w:tcBorders>
              <w:top w:val="nil"/>
              <w:left w:val="nil"/>
              <w:bottom w:val="nil"/>
              <w:right w:val="nil"/>
            </w:tcBorders>
            <w:shd w:val="clear" w:color="auto" w:fill="auto"/>
            <w:noWrap/>
            <w:vAlign w:val="center"/>
          </w:tcPr>
          <w:p w14:paraId="0A711BA7">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1668</w:t>
            </w:r>
          </w:p>
        </w:tc>
      </w:tr>
      <w:tr w14:paraId="05B65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2019" w:type="dxa"/>
            <w:tcBorders>
              <w:top w:val="nil"/>
              <w:left w:val="nil"/>
              <w:bottom w:val="nil"/>
              <w:right w:val="nil"/>
            </w:tcBorders>
            <w:shd w:val="clear" w:color="auto" w:fill="auto"/>
            <w:noWrap/>
            <w:vAlign w:val="center"/>
          </w:tcPr>
          <w:p w14:paraId="4BE0460F">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5</w:t>
            </w:r>
          </w:p>
        </w:tc>
        <w:tc>
          <w:tcPr>
            <w:tcW w:w="2091" w:type="dxa"/>
            <w:tcBorders>
              <w:top w:val="nil"/>
              <w:left w:val="nil"/>
              <w:bottom w:val="nil"/>
              <w:right w:val="nil"/>
            </w:tcBorders>
            <w:shd w:val="clear" w:color="auto" w:fill="auto"/>
            <w:noWrap/>
            <w:vAlign w:val="center"/>
          </w:tcPr>
          <w:p w14:paraId="478A3FE2">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19021</w:t>
            </w:r>
          </w:p>
        </w:tc>
        <w:tc>
          <w:tcPr>
            <w:tcW w:w="2714" w:type="dxa"/>
            <w:tcBorders>
              <w:top w:val="nil"/>
              <w:left w:val="nil"/>
              <w:bottom w:val="nil"/>
              <w:right w:val="nil"/>
            </w:tcBorders>
            <w:shd w:val="clear" w:color="auto" w:fill="auto"/>
            <w:vAlign w:val="center"/>
          </w:tcPr>
          <w:p w14:paraId="0CE49882">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群体长势旺盛、整齐度高</w:t>
            </w:r>
          </w:p>
        </w:tc>
        <w:tc>
          <w:tcPr>
            <w:tcW w:w="2273" w:type="dxa"/>
            <w:tcBorders>
              <w:top w:val="nil"/>
              <w:left w:val="nil"/>
              <w:bottom w:val="nil"/>
              <w:right w:val="nil"/>
            </w:tcBorders>
            <w:shd w:val="clear" w:color="auto" w:fill="auto"/>
            <w:noWrap/>
            <w:vAlign w:val="center"/>
          </w:tcPr>
          <w:p w14:paraId="6B2C43F1">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1931</w:t>
            </w:r>
          </w:p>
        </w:tc>
      </w:tr>
      <w:tr w14:paraId="1D537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2019" w:type="dxa"/>
            <w:tcBorders>
              <w:top w:val="nil"/>
              <w:left w:val="nil"/>
              <w:bottom w:val="single" w:color="000000" w:sz="4" w:space="0"/>
              <w:right w:val="nil"/>
            </w:tcBorders>
            <w:shd w:val="clear" w:color="auto" w:fill="auto"/>
            <w:noWrap/>
            <w:vAlign w:val="center"/>
          </w:tcPr>
          <w:p w14:paraId="1A9A6F40">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6</w:t>
            </w:r>
          </w:p>
        </w:tc>
        <w:tc>
          <w:tcPr>
            <w:tcW w:w="2091" w:type="dxa"/>
            <w:tcBorders>
              <w:top w:val="nil"/>
              <w:left w:val="nil"/>
              <w:bottom w:val="single" w:color="000000" w:sz="4" w:space="0"/>
              <w:right w:val="nil"/>
            </w:tcBorders>
            <w:shd w:val="clear" w:color="auto" w:fill="auto"/>
            <w:noWrap/>
            <w:vAlign w:val="center"/>
          </w:tcPr>
          <w:p w14:paraId="0942F53F">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19516</w:t>
            </w:r>
          </w:p>
        </w:tc>
        <w:tc>
          <w:tcPr>
            <w:tcW w:w="2714" w:type="dxa"/>
            <w:tcBorders>
              <w:top w:val="nil"/>
              <w:left w:val="nil"/>
              <w:bottom w:val="single" w:color="000000" w:sz="4" w:space="0"/>
              <w:right w:val="nil"/>
            </w:tcBorders>
            <w:shd w:val="clear" w:color="auto" w:fill="auto"/>
            <w:vAlign w:val="center"/>
          </w:tcPr>
          <w:p w14:paraId="014C5654">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群体长势旺盛、整齐度高</w:t>
            </w:r>
          </w:p>
        </w:tc>
        <w:tc>
          <w:tcPr>
            <w:tcW w:w="2273" w:type="dxa"/>
            <w:tcBorders>
              <w:top w:val="nil"/>
              <w:left w:val="nil"/>
              <w:bottom w:val="single" w:color="000000" w:sz="4" w:space="0"/>
              <w:right w:val="nil"/>
            </w:tcBorders>
            <w:shd w:val="clear" w:color="auto" w:fill="auto"/>
            <w:noWrap/>
            <w:vAlign w:val="center"/>
          </w:tcPr>
          <w:p w14:paraId="01CFA10C">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1975</w:t>
            </w:r>
          </w:p>
        </w:tc>
      </w:tr>
    </w:tbl>
    <w:p w14:paraId="28B5B10B">
      <w:pPr>
        <w:pStyle w:val="41"/>
        <w:numPr>
          <w:ilvl w:val="0"/>
          <w:numId w:val="6"/>
        </w:numPr>
        <w:spacing w:line="360" w:lineRule="auto"/>
        <w:ind w:left="0" w:leftChars="0" w:firstLine="482" w:firstLineChars="200"/>
        <w:jc w:val="left"/>
        <w:outlineLvl w:val="1"/>
        <w:rPr>
          <w:rFonts w:hint="eastAsia" w:ascii="方正仿宋_GB2312" w:hAnsi="方正仿宋_GB2312" w:eastAsia="方正仿宋_GB2312" w:cs="方正仿宋_GB2312"/>
          <w:b/>
          <w:snapToGrid w:val="0"/>
          <w:color w:val="000000"/>
          <w:kern w:val="44"/>
          <w:sz w:val="24"/>
          <w:szCs w:val="24"/>
          <w:lang w:val="en-US" w:eastAsia="zh-CN" w:bidi="ar-SA"/>
          <w14:ligatures w14:val="none"/>
        </w:rPr>
      </w:pPr>
      <w:bookmarkStart w:id="20" w:name="_Toc4572"/>
      <w:r>
        <w:rPr>
          <w:rFonts w:hint="eastAsia" w:ascii="方正仿宋_GB2312" w:hAnsi="方正仿宋_GB2312" w:eastAsia="方正仿宋_GB2312" w:cs="方正仿宋_GB2312"/>
          <w:b/>
          <w:snapToGrid w:val="0"/>
          <w:color w:val="000000"/>
          <w:kern w:val="44"/>
          <w:sz w:val="24"/>
          <w:szCs w:val="24"/>
          <w:lang w:val="en-US" w:eastAsia="zh-CN" w:bidi="ar-SA"/>
          <w14:ligatures w14:val="none"/>
        </w:rPr>
        <w:t>不同生育期灌溉量对植株长势及表土返盐影响试验</w:t>
      </w:r>
      <w:bookmarkEnd w:id="20"/>
    </w:p>
    <w:p w14:paraId="3A78B245">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水分管理按生育阶段设置多档滴灌定额处理，其中播种出苗水设 15m³/亩～40m³/亩梯度、苗期设 15m³/亩～40m³/亩梯度、蕾荚期设 15m³/亩～50m³/亩梯度、鼓粒期设 15m³/亩～40m³/亩梯度，同步设置传统漫灌对照小区。各处理于关键生育期调查出苗整齐度、叶片挺立与萎蔫状况、植株长势等田间性状，并观察表土返盐积盐情况。两年两点试验结果表明：灌溉量不足时，田间出苗不齐、叶片萎蔫、植株长势受限；灌溉量过大时，水分利用率降低，表土易出现返盐积盐现象。采用优选分级滴灌用量（播种出苗水 25m³/亩～35m³/亩、苗期 20m³/亩～30m³/亩、蕾荚期 30m³/亩～40m³/亩、鼓粒期 20m³/亩～30m³/亩）时，田间出苗整齐、苗齐苗壮、茎秆粗壮，分枝与花荚多，各生育期植株长势良好无明显萎蔫，表土无明显返盐积盐。各生育阶段灌溉量处理表现见表 2。</w:t>
      </w:r>
    </w:p>
    <w:p w14:paraId="607D5C02">
      <w:pPr>
        <w:pStyle w:val="41"/>
        <w:numPr>
          <w:ilvl w:val="0"/>
          <w:numId w:val="0"/>
        </w:numPr>
        <w:spacing w:line="360" w:lineRule="auto"/>
        <w:ind w:left="0" w:leftChars="0" w:firstLine="0" w:firstLineChars="0"/>
        <w:jc w:val="center"/>
        <w:outlineLvl w:val="2"/>
        <w:rPr>
          <w:rFonts w:hint="eastAsia" w:ascii="Times New Roman" w:hAnsi="Times New Roman" w:eastAsia="仿宋_GB2312" w:cs="Times New Roman"/>
          <w:kern w:val="2"/>
          <w:sz w:val="24"/>
          <w:szCs w:val="24"/>
          <w:lang w:val="en-US" w:eastAsia="zh-CN" w:bidi="ar-SA"/>
          <w14:ligatures w14:val="standardContextual"/>
        </w:rPr>
      </w:pPr>
      <w:bookmarkStart w:id="21" w:name="_Toc15769"/>
      <w:r>
        <w:rPr>
          <w:rFonts w:hint="eastAsia" w:ascii="Times New Roman" w:hAnsi="Times New Roman" w:eastAsia="仿宋_GB2312" w:cs="Times New Roman"/>
          <w:b/>
          <w:bCs/>
          <w:kern w:val="2"/>
          <w:sz w:val="24"/>
          <w:szCs w:val="24"/>
          <w:lang w:val="en-US" w:eastAsia="zh-CN" w:bidi="ar-SA"/>
          <w14:ligatures w14:val="standardContextual"/>
        </w:rPr>
        <w:t>表2  不同生育期灌溉量对植株长势及表土返盐影响试验</w:t>
      </w:r>
      <w:bookmarkEnd w:id="21"/>
    </w:p>
    <w:tbl>
      <w:tblPr>
        <w:tblStyle w:val="23"/>
        <w:tblW w:w="88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19"/>
        <w:gridCol w:w="2033"/>
        <w:gridCol w:w="3220"/>
        <w:gridCol w:w="1946"/>
      </w:tblGrid>
      <w:tr w14:paraId="7CE7F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7" w:hRule="atLeast"/>
          <w:jc w:val="center"/>
        </w:trPr>
        <w:tc>
          <w:tcPr>
            <w:tcW w:w="1619" w:type="dxa"/>
            <w:tcBorders>
              <w:top w:val="single" w:color="000000" w:sz="4" w:space="0"/>
              <w:left w:val="nil"/>
              <w:bottom w:val="single" w:color="000000" w:sz="4" w:space="0"/>
              <w:right w:val="nil"/>
            </w:tcBorders>
            <w:shd w:val="clear" w:color="auto" w:fill="auto"/>
            <w:noWrap/>
            <w:vAlign w:val="center"/>
          </w:tcPr>
          <w:p w14:paraId="0E94CE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生育期</w:t>
            </w:r>
          </w:p>
        </w:tc>
        <w:tc>
          <w:tcPr>
            <w:tcW w:w="2033" w:type="dxa"/>
            <w:tcBorders>
              <w:top w:val="single" w:color="000000" w:sz="4" w:space="0"/>
              <w:left w:val="nil"/>
              <w:bottom w:val="single" w:color="000000" w:sz="4" w:space="0"/>
              <w:right w:val="nil"/>
            </w:tcBorders>
            <w:shd w:val="clear" w:color="auto" w:fill="auto"/>
            <w:noWrap/>
            <w:vAlign w:val="center"/>
          </w:tcPr>
          <w:p w14:paraId="55F10C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灌溉量（m³/亩）</w:t>
            </w:r>
          </w:p>
        </w:tc>
        <w:tc>
          <w:tcPr>
            <w:tcW w:w="3220" w:type="dxa"/>
            <w:tcBorders>
              <w:top w:val="single" w:color="000000" w:sz="4" w:space="0"/>
              <w:left w:val="nil"/>
              <w:bottom w:val="single" w:color="000000" w:sz="4" w:space="0"/>
              <w:right w:val="nil"/>
            </w:tcBorders>
            <w:shd w:val="clear" w:color="auto" w:fill="auto"/>
            <w:noWrap/>
            <w:vAlign w:val="center"/>
          </w:tcPr>
          <w:p w14:paraId="6D0EAC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植株长势</w:t>
            </w:r>
          </w:p>
        </w:tc>
        <w:tc>
          <w:tcPr>
            <w:tcW w:w="1946" w:type="dxa"/>
            <w:tcBorders>
              <w:top w:val="single" w:color="000000" w:sz="4" w:space="0"/>
              <w:left w:val="nil"/>
              <w:bottom w:val="single" w:color="000000" w:sz="4" w:space="0"/>
              <w:right w:val="nil"/>
            </w:tcBorders>
            <w:shd w:val="clear" w:color="auto" w:fill="auto"/>
            <w:noWrap/>
            <w:vAlign w:val="center"/>
          </w:tcPr>
          <w:p w14:paraId="45FEB6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表土返盐情况</w:t>
            </w:r>
          </w:p>
        </w:tc>
      </w:tr>
      <w:tr w14:paraId="48272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restart"/>
            <w:tcBorders>
              <w:top w:val="nil"/>
              <w:left w:val="nil"/>
              <w:bottom w:val="single" w:color="000000" w:sz="4" w:space="0"/>
              <w:right w:val="nil"/>
            </w:tcBorders>
            <w:shd w:val="clear" w:color="auto" w:fill="auto"/>
            <w:noWrap/>
            <w:vAlign w:val="center"/>
          </w:tcPr>
          <w:p w14:paraId="57C358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播种出苗水</w:t>
            </w:r>
          </w:p>
        </w:tc>
        <w:tc>
          <w:tcPr>
            <w:tcW w:w="2033" w:type="dxa"/>
            <w:tcBorders>
              <w:top w:val="nil"/>
              <w:left w:val="nil"/>
              <w:bottom w:val="nil"/>
              <w:right w:val="nil"/>
            </w:tcBorders>
            <w:shd w:val="clear" w:color="auto" w:fill="auto"/>
            <w:noWrap/>
            <w:vAlign w:val="center"/>
          </w:tcPr>
          <w:p w14:paraId="2F9622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15</w:t>
            </w:r>
          </w:p>
        </w:tc>
        <w:tc>
          <w:tcPr>
            <w:tcW w:w="3220" w:type="dxa"/>
            <w:tcBorders>
              <w:top w:val="nil"/>
              <w:left w:val="nil"/>
              <w:bottom w:val="nil"/>
              <w:right w:val="nil"/>
            </w:tcBorders>
            <w:shd w:val="clear" w:color="auto" w:fill="auto"/>
            <w:noWrap/>
            <w:vAlign w:val="center"/>
          </w:tcPr>
          <w:p w14:paraId="2F92B3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出苗较稀疏</w:t>
            </w:r>
          </w:p>
        </w:tc>
        <w:tc>
          <w:tcPr>
            <w:tcW w:w="1946" w:type="dxa"/>
            <w:tcBorders>
              <w:top w:val="nil"/>
              <w:left w:val="nil"/>
              <w:bottom w:val="nil"/>
              <w:right w:val="nil"/>
            </w:tcBorders>
            <w:shd w:val="clear" w:color="auto" w:fill="auto"/>
            <w:noWrap/>
            <w:vAlign w:val="center"/>
          </w:tcPr>
          <w:p w14:paraId="5C7E7F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37518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single" w:color="000000" w:sz="4" w:space="0"/>
              <w:right w:val="nil"/>
            </w:tcBorders>
            <w:shd w:val="clear" w:color="auto" w:fill="auto"/>
            <w:noWrap/>
            <w:vAlign w:val="center"/>
          </w:tcPr>
          <w:p w14:paraId="7ADA5817">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2E220E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20</w:t>
            </w:r>
          </w:p>
        </w:tc>
        <w:tc>
          <w:tcPr>
            <w:tcW w:w="3220" w:type="dxa"/>
            <w:tcBorders>
              <w:top w:val="nil"/>
              <w:left w:val="nil"/>
              <w:bottom w:val="nil"/>
              <w:right w:val="nil"/>
            </w:tcBorders>
            <w:shd w:val="clear" w:color="auto" w:fill="auto"/>
            <w:noWrap/>
            <w:vAlign w:val="center"/>
          </w:tcPr>
          <w:p w14:paraId="6B91B8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出苗整齐，较矮小</w:t>
            </w:r>
          </w:p>
        </w:tc>
        <w:tc>
          <w:tcPr>
            <w:tcW w:w="1946" w:type="dxa"/>
            <w:tcBorders>
              <w:top w:val="nil"/>
              <w:left w:val="nil"/>
              <w:bottom w:val="nil"/>
              <w:right w:val="nil"/>
            </w:tcBorders>
            <w:shd w:val="clear" w:color="auto" w:fill="auto"/>
            <w:noWrap/>
            <w:vAlign w:val="center"/>
          </w:tcPr>
          <w:p w14:paraId="20CF2C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4DC88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single" w:color="000000" w:sz="4" w:space="0"/>
              <w:right w:val="nil"/>
            </w:tcBorders>
            <w:shd w:val="clear" w:color="auto" w:fill="auto"/>
            <w:noWrap/>
            <w:vAlign w:val="center"/>
          </w:tcPr>
          <w:p w14:paraId="468E5B06">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3793C4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25</w:t>
            </w:r>
          </w:p>
        </w:tc>
        <w:tc>
          <w:tcPr>
            <w:tcW w:w="3220" w:type="dxa"/>
            <w:tcBorders>
              <w:top w:val="nil"/>
              <w:left w:val="nil"/>
              <w:bottom w:val="nil"/>
              <w:right w:val="nil"/>
            </w:tcBorders>
            <w:shd w:val="clear" w:color="auto" w:fill="auto"/>
            <w:noWrap/>
            <w:vAlign w:val="center"/>
          </w:tcPr>
          <w:p w14:paraId="6CE31C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出苗整齐，苗齐苗壮</w:t>
            </w:r>
          </w:p>
        </w:tc>
        <w:tc>
          <w:tcPr>
            <w:tcW w:w="1946" w:type="dxa"/>
            <w:tcBorders>
              <w:top w:val="nil"/>
              <w:left w:val="nil"/>
              <w:bottom w:val="nil"/>
              <w:right w:val="nil"/>
            </w:tcBorders>
            <w:shd w:val="clear" w:color="auto" w:fill="auto"/>
            <w:noWrap/>
            <w:vAlign w:val="center"/>
          </w:tcPr>
          <w:p w14:paraId="29087C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17EC9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single" w:color="000000" w:sz="4" w:space="0"/>
              <w:right w:val="nil"/>
            </w:tcBorders>
            <w:shd w:val="clear" w:color="auto" w:fill="auto"/>
            <w:noWrap/>
            <w:vAlign w:val="center"/>
          </w:tcPr>
          <w:p w14:paraId="33C73BF3">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34CAAC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30</w:t>
            </w:r>
          </w:p>
        </w:tc>
        <w:tc>
          <w:tcPr>
            <w:tcW w:w="3220" w:type="dxa"/>
            <w:tcBorders>
              <w:top w:val="nil"/>
              <w:left w:val="nil"/>
              <w:bottom w:val="nil"/>
              <w:right w:val="nil"/>
            </w:tcBorders>
            <w:shd w:val="clear" w:color="auto" w:fill="auto"/>
            <w:noWrap/>
            <w:vAlign w:val="center"/>
          </w:tcPr>
          <w:p w14:paraId="7D60A5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出苗整齐，苗齐苗壮</w:t>
            </w:r>
          </w:p>
        </w:tc>
        <w:tc>
          <w:tcPr>
            <w:tcW w:w="1946" w:type="dxa"/>
            <w:tcBorders>
              <w:top w:val="nil"/>
              <w:left w:val="nil"/>
              <w:bottom w:val="nil"/>
              <w:right w:val="nil"/>
            </w:tcBorders>
            <w:shd w:val="clear" w:color="auto" w:fill="auto"/>
            <w:noWrap/>
            <w:vAlign w:val="center"/>
          </w:tcPr>
          <w:p w14:paraId="13F9CA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26C38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single" w:color="000000" w:sz="4" w:space="0"/>
              <w:right w:val="nil"/>
            </w:tcBorders>
            <w:shd w:val="clear" w:color="auto" w:fill="auto"/>
            <w:noWrap/>
            <w:vAlign w:val="center"/>
          </w:tcPr>
          <w:p w14:paraId="47C93372">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14864D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35</w:t>
            </w:r>
          </w:p>
        </w:tc>
        <w:tc>
          <w:tcPr>
            <w:tcW w:w="3220" w:type="dxa"/>
            <w:tcBorders>
              <w:top w:val="nil"/>
              <w:left w:val="nil"/>
              <w:bottom w:val="nil"/>
              <w:right w:val="nil"/>
            </w:tcBorders>
            <w:shd w:val="clear" w:color="auto" w:fill="auto"/>
            <w:noWrap/>
            <w:vAlign w:val="center"/>
          </w:tcPr>
          <w:p w14:paraId="7D9608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出苗整齐，苗齐苗壮</w:t>
            </w:r>
          </w:p>
        </w:tc>
        <w:tc>
          <w:tcPr>
            <w:tcW w:w="1946" w:type="dxa"/>
            <w:tcBorders>
              <w:top w:val="nil"/>
              <w:left w:val="nil"/>
              <w:bottom w:val="nil"/>
              <w:right w:val="nil"/>
            </w:tcBorders>
            <w:shd w:val="clear" w:color="auto" w:fill="auto"/>
            <w:noWrap/>
            <w:vAlign w:val="center"/>
          </w:tcPr>
          <w:p w14:paraId="5E1B50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70B25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7" w:hRule="atLeast"/>
          <w:jc w:val="center"/>
        </w:trPr>
        <w:tc>
          <w:tcPr>
            <w:tcW w:w="1619" w:type="dxa"/>
            <w:vMerge w:val="continue"/>
            <w:tcBorders>
              <w:top w:val="nil"/>
              <w:left w:val="nil"/>
              <w:bottom w:val="single" w:color="000000" w:sz="4" w:space="0"/>
              <w:right w:val="nil"/>
            </w:tcBorders>
            <w:shd w:val="clear" w:color="auto" w:fill="auto"/>
            <w:noWrap/>
            <w:vAlign w:val="center"/>
          </w:tcPr>
          <w:p w14:paraId="1E376B05">
            <w:pPr>
              <w:jc w:val="center"/>
              <w:rPr>
                <w:rFonts w:hint="eastAsia" w:ascii="宋体" w:hAnsi="宋体" w:eastAsia="宋体" w:cs="宋体"/>
                <w:i w:val="0"/>
                <w:iCs w:val="0"/>
                <w:color w:val="000000"/>
                <w:sz w:val="21"/>
                <w:szCs w:val="21"/>
                <w:u w:val="none"/>
              </w:rPr>
            </w:pPr>
          </w:p>
        </w:tc>
        <w:tc>
          <w:tcPr>
            <w:tcW w:w="2033" w:type="dxa"/>
            <w:tcBorders>
              <w:top w:val="nil"/>
              <w:left w:val="nil"/>
              <w:bottom w:val="single" w:color="000000" w:sz="4" w:space="0"/>
              <w:right w:val="nil"/>
            </w:tcBorders>
            <w:shd w:val="clear" w:color="auto" w:fill="auto"/>
            <w:noWrap/>
            <w:vAlign w:val="center"/>
          </w:tcPr>
          <w:p w14:paraId="266498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40</w:t>
            </w:r>
          </w:p>
        </w:tc>
        <w:tc>
          <w:tcPr>
            <w:tcW w:w="3220" w:type="dxa"/>
            <w:tcBorders>
              <w:top w:val="nil"/>
              <w:left w:val="nil"/>
              <w:bottom w:val="single" w:color="000000" w:sz="4" w:space="0"/>
              <w:right w:val="nil"/>
            </w:tcBorders>
            <w:shd w:val="clear" w:color="auto" w:fill="auto"/>
            <w:noWrap/>
            <w:vAlign w:val="center"/>
          </w:tcPr>
          <w:p w14:paraId="388151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长势尚可、耗水量大</w:t>
            </w:r>
          </w:p>
        </w:tc>
        <w:tc>
          <w:tcPr>
            <w:tcW w:w="1946" w:type="dxa"/>
            <w:tcBorders>
              <w:top w:val="nil"/>
              <w:left w:val="nil"/>
              <w:bottom w:val="single" w:color="000000" w:sz="4" w:space="0"/>
              <w:right w:val="nil"/>
            </w:tcBorders>
            <w:shd w:val="clear" w:color="auto" w:fill="auto"/>
            <w:noWrap/>
            <w:vAlign w:val="center"/>
          </w:tcPr>
          <w:p w14:paraId="6DBBD4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轻微返盐</w:t>
            </w:r>
          </w:p>
        </w:tc>
      </w:tr>
      <w:tr w14:paraId="0023D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7" w:hRule="atLeast"/>
          <w:jc w:val="center"/>
        </w:trPr>
        <w:tc>
          <w:tcPr>
            <w:tcW w:w="1619" w:type="dxa"/>
            <w:vMerge w:val="restart"/>
            <w:tcBorders>
              <w:top w:val="nil"/>
              <w:left w:val="nil"/>
              <w:bottom w:val="single" w:color="000000" w:sz="4" w:space="0"/>
              <w:right w:val="nil"/>
            </w:tcBorders>
            <w:shd w:val="clear" w:color="auto" w:fill="auto"/>
            <w:noWrap/>
            <w:vAlign w:val="center"/>
          </w:tcPr>
          <w:p w14:paraId="38E16C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苗期</w:t>
            </w:r>
          </w:p>
        </w:tc>
        <w:tc>
          <w:tcPr>
            <w:tcW w:w="2033" w:type="dxa"/>
            <w:tcBorders>
              <w:top w:val="nil"/>
              <w:left w:val="nil"/>
              <w:bottom w:val="nil"/>
              <w:right w:val="nil"/>
            </w:tcBorders>
            <w:shd w:val="clear" w:color="auto" w:fill="auto"/>
            <w:noWrap/>
            <w:vAlign w:val="center"/>
          </w:tcPr>
          <w:p w14:paraId="25194D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15</w:t>
            </w:r>
          </w:p>
        </w:tc>
        <w:tc>
          <w:tcPr>
            <w:tcW w:w="3220" w:type="dxa"/>
            <w:tcBorders>
              <w:top w:val="nil"/>
              <w:left w:val="nil"/>
              <w:bottom w:val="nil"/>
              <w:right w:val="nil"/>
            </w:tcBorders>
            <w:shd w:val="clear" w:color="auto" w:fill="auto"/>
            <w:noWrap/>
            <w:vAlign w:val="center"/>
          </w:tcPr>
          <w:p w14:paraId="2772F8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叶片萎蔫</w:t>
            </w:r>
          </w:p>
        </w:tc>
        <w:tc>
          <w:tcPr>
            <w:tcW w:w="1946" w:type="dxa"/>
            <w:tcBorders>
              <w:top w:val="nil"/>
              <w:left w:val="nil"/>
              <w:bottom w:val="nil"/>
              <w:right w:val="nil"/>
            </w:tcBorders>
            <w:shd w:val="clear" w:color="auto" w:fill="auto"/>
            <w:noWrap/>
            <w:vAlign w:val="center"/>
          </w:tcPr>
          <w:p w14:paraId="050C25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02DC9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single" w:color="000000" w:sz="4" w:space="0"/>
              <w:right w:val="nil"/>
            </w:tcBorders>
            <w:shd w:val="clear" w:color="auto" w:fill="auto"/>
            <w:noWrap/>
            <w:vAlign w:val="center"/>
          </w:tcPr>
          <w:p w14:paraId="07FED09E">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0003E9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20</w:t>
            </w:r>
          </w:p>
        </w:tc>
        <w:tc>
          <w:tcPr>
            <w:tcW w:w="3220" w:type="dxa"/>
            <w:tcBorders>
              <w:top w:val="nil"/>
              <w:left w:val="nil"/>
              <w:bottom w:val="nil"/>
              <w:right w:val="nil"/>
            </w:tcBorders>
            <w:shd w:val="clear" w:color="auto" w:fill="auto"/>
            <w:noWrap/>
            <w:vAlign w:val="center"/>
          </w:tcPr>
          <w:p w14:paraId="2C46BF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株高整齐、叶片浓绿有光泽</w:t>
            </w:r>
          </w:p>
        </w:tc>
        <w:tc>
          <w:tcPr>
            <w:tcW w:w="1946" w:type="dxa"/>
            <w:tcBorders>
              <w:top w:val="nil"/>
              <w:left w:val="nil"/>
              <w:bottom w:val="nil"/>
              <w:right w:val="nil"/>
            </w:tcBorders>
            <w:shd w:val="clear" w:color="auto" w:fill="auto"/>
            <w:noWrap/>
            <w:vAlign w:val="center"/>
          </w:tcPr>
          <w:p w14:paraId="22E010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49E2B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single" w:color="000000" w:sz="4" w:space="0"/>
              <w:right w:val="nil"/>
            </w:tcBorders>
            <w:shd w:val="clear" w:color="auto" w:fill="auto"/>
            <w:noWrap/>
            <w:vAlign w:val="center"/>
          </w:tcPr>
          <w:p w14:paraId="76788DF2">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0533C6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25</w:t>
            </w:r>
          </w:p>
        </w:tc>
        <w:tc>
          <w:tcPr>
            <w:tcW w:w="3220" w:type="dxa"/>
            <w:tcBorders>
              <w:top w:val="nil"/>
              <w:left w:val="nil"/>
              <w:bottom w:val="nil"/>
              <w:right w:val="nil"/>
            </w:tcBorders>
            <w:shd w:val="clear" w:color="auto" w:fill="auto"/>
            <w:noWrap/>
            <w:vAlign w:val="center"/>
          </w:tcPr>
          <w:p w14:paraId="49B58B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株高整齐、叶片浓绿有光泽</w:t>
            </w:r>
          </w:p>
        </w:tc>
        <w:tc>
          <w:tcPr>
            <w:tcW w:w="1946" w:type="dxa"/>
            <w:tcBorders>
              <w:top w:val="nil"/>
              <w:left w:val="nil"/>
              <w:bottom w:val="nil"/>
              <w:right w:val="nil"/>
            </w:tcBorders>
            <w:shd w:val="clear" w:color="auto" w:fill="auto"/>
            <w:noWrap/>
            <w:vAlign w:val="center"/>
          </w:tcPr>
          <w:p w14:paraId="0D99E6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4B7EA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single" w:color="000000" w:sz="4" w:space="0"/>
              <w:right w:val="nil"/>
            </w:tcBorders>
            <w:shd w:val="clear" w:color="auto" w:fill="auto"/>
            <w:noWrap/>
            <w:vAlign w:val="center"/>
          </w:tcPr>
          <w:p w14:paraId="77FFDBF6">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28AD74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30</w:t>
            </w:r>
          </w:p>
        </w:tc>
        <w:tc>
          <w:tcPr>
            <w:tcW w:w="3220" w:type="dxa"/>
            <w:tcBorders>
              <w:top w:val="nil"/>
              <w:left w:val="nil"/>
              <w:bottom w:val="nil"/>
              <w:right w:val="nil"/>
            </w:tcBorders>
            <w:shd w:val="clear" w:color="auto" w:fill="auto"/>
            <w:noWrap/>
            <w:vAlign w:val="center"/>
          </w:tcPr>
          <w:p w14:paraId="5714EF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株高整齐、叶片浓绿有光泽</w:t>
            </w:r>
          </w:p>
        </w:tc>
        <w:tc>
          <w:tcPr>
            <w:tcW w:w="1946" w:type="dxa"/>
            <w:tcBorders>
              <w:top w:val="nil"/>
              <w:left w:val="nil"/>
              <w:bottom w:val="nil"/>
              <w:right w:val="nil"/>
            </w:tcBorders>
            <w:shd w:val="clear" w:color="auto" w:fill="auto"/>
            <w:noWrap/>
            <w:vAlign w:val="center"/>
          </w:tcPr>
          <w:p w14:paraId="7FCB74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40C0A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single" w:color="000000" w:sz="4" w:space="0"/>
              <w:right w:val="nil"/>
            </w:tcBorders>
            <w:shd w:val="clear" w:color="auto" w:fill="auto"/>
            <w:noWrap/>
            <w:vAlign w:val="center"/>
          </w:tcPr>
          <w:p w14:paraId="0FF1315D">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39F8FE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35</w:t>
            </w:r>
          </w:p>
        </w:tc>
        <w:tc>
          <w:tcPr>
            <w:tcW w:w="3220" w:type="dxa"/>
            <w:tcBorders>
              <w:top w:val="nil"/>
              <w:left w:val="nil"/>
              <w:bottom w:val="nil"/>
              <w:right w:val="nil"/>
            </w:tcBorders>
            <w:shd w:val="clear" w:color="auto" w:fill="auto"/>
            <w:noWrap/>
            <w:vAlign w:val="center"/>
          </w:tcPr>
          <w:p w14:paraId="5080FA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长势良好、耗水量大</w:t>
            </w:r>
          </w:p>
        </w:tc>
        <w:tc>
          <w:tcPr>
            <w:tcW w:w="1946" w:type="dxa"/>
            <w:tcBorders>
              <w:top w:val="nil"/>
              <w:left w:val="nil"/>
              <w:bottom w:val="nil"/>
              <w:right w:val="nil"/>
            </w:tcBorders>
            <w:shd w:val="clear" w:color="auto" w:fill="auto"/>
            <w:noWrap/>
            <w:vAlign w:val="center"/>
          </w:tcPr>
          <w:p w14:paraId="3CF3DA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6C537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single" w:color="auto" w:sz="4" w:space="0"/>
              <w:right w:val="nil"/>
            </w:tcBorders>
            <w:shd w:val="clear" w:color="auto" w:fill="auto"/>
            <w:noWrap/>
            <w:vAlign w:val="center"/>
          </w:tcPr>
          <w:p w14:paraId="457515E0">
            <w:pPr>
              <w:jc w:val="center"/>
              <w:rPr>
                <w:rFonts w:hint="eastAsia" w:ascii="宋体" w:hAnsi="宋体" w:eastAsia="宋体" w:cs="宋体"/>
                <w:i w:val="0"/>
                <w:iCs w:val="0"/>
                <w:color w:val="000000"/>
                <w:sz w:val="21"/>
                <w:szCs w:val="21"/>
                <w:u w:val="none"/>
              </w:rPr>
            </w:pPr>
          </w:p>
        </w:tc>
        <w:tc>
          <w:tcPr>
            <w:tcW w:w="2033" w:type="dxa"/>
            <w:tcBorders>
              <w:top w:val="nil"/>
              <w:left w:val="nil"/>
              <w:bottom w:val="single" w:color="auto" w:sz="4" w:space="0"/>
              <w:right w:val="nil"/>
            </w:tcBorders>
            <w:shd w:val="clear" w:color="auto" w:fill="auto"/>
            <w:noWrap/>
            <w:vAlign w:val="center"/>
          </w:tcPr>
          <w:p w14:paraId="6C033B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40</w:t>
            </w:r>
          </w:p>
        </w:tc>
        <w:tc>
          <w:tcPr>
            <w:tcW w:w="3220" w:type="dxa"/>
            <w:tcBorders>
              <w:top w:val="nil"/>
              <w:left w:val="nil"/>
              <w:bottom w:val="single" w:color="auto" w:sz="4" w:space="0"/>
              <w:right w:val="nil"/>
            </w:tcBorders>
            <w:shd w:val="clear" w:color="auto" w:fill="auto"/>
            <w:noWrap/>
            <w:vAlign w:val="center"/>
          </w:tcPr>
          <w:p w14:paraId="56A8E0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长势良好、耗水量大</w:t>
            </w:r>
          </w:p>
        </w:tc>
        <w:tc>
          <w:tcPr>
            <w:tcW w:w="1946" w:type="dxa"/>
            <w:tcBorders>
              <w:top w:val="nil"/>
              <w:left w:val="nil"/>
              <w:bottom w:val="single" w:color="auto" w:sz="4" w:space="0"/>
              <w:right w:val="nil"/>
            </w:tcBorders>
            <w:shd w:val="clear" w:color="auto" w:fill="auto"/>
            <w:noWrap/>
            <w:vAlign w:val="center"/>
          </w:tcPr>
          <w:p w14:paraId="0442A8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轻微返盐</w:t>
            </w:r>
          </w:p>
        </w:tc>
      </w:tr>
      <w:tr w14:paraId="38E35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jc w:val="center"/>
        </w:trPr>
        <w:tc>
          <w:tcPr>
            <w:tcW w:w="1619" w:type="dxa"/>
            <w:vMerge w:val="restart"/>
            <w:tcBorders>
              <w:top w:val="single" w:color="auto" w:sz="4" w:space="0"/>
              <w:left w:val="nil"/>
              <w:bottom w:val="nil"/>
              <w:right w:val="nil"/>
            </w:tcBorders>
            <w:shd w:val="clear" w:color="auto" w:fill="auto"/>
            <w:noWrap/>
            <w:vAlign w:val="center"/>
          </w:tcPr>
          <w:p w14:paraId="12DAA6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蕾荚期</w:t>
            </w:r>
          </w:p>
        </w:tc>
        <w:tc>
          <w:tcPr>
            <w:tcW w:w="2033" w:type="dxa"/>
            <w:tcBorders>
              <w:top w:val="single" w:color="auto" w:sz="4" w:space="0"/>
              <w:left w:val="nil"/>
              <w:bottom w:val="nil"/>
              <w:right w:val="nil"/>
            </w:tcBorders>
            <w:shd w:val="clear" w:color="auto" w:fill="auto"/>
            <w:noWrap/>
            <w:vAlign w:val="center"/>
          </w:tcPr>
          <w:p w14:paraId="49B3FC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15</w:t>
            </w:r>
          </w:p>
        </w:tc>
        <w:tc>
          <w:tcPr>
            <w:tcW w:w="3220" w:type="dxa"/>
            <w:tcBorders>
              <w:top w:val="single" w:color="auto" w:sz="4" w:space="0"/>
              <w:left w:val="nil"/>
              <w:bottom w:val="nil"/>
              <w:right w:val="nil"/>
            </w:tcBorders>
            <w:shd w:val="clear" w:color="auto" w:fill="auto"/>
            <w:noWrap/>
            <w:vAlign w:val="center"/>
          </w:tcPr>
          <w:p w14:paraId="71CFFA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植株严重萎蔫、叶片枯黄卷缩</w:t>
            </w:r>
          </w:p>
        </w:tc>
        <w:tc>
          <w:tcPr>
            <w:tcW w:w="1946" w:type="dxa"/>
            <w:tcBorders>
              <w:top w:val="single" w:color="auto" w:sz="4" w:space="0"/>
              <w:left w:val="nil"/>
              <w:bottom w:val="nil"/>
              <w:right w:val="nil"/>
            </w:tcBorders>
            <w:shd w:val="clear" w:color="auto" w:fill="auto"/>
            <w:noWrap/>
            <w:vAlign w:val="center"/>
          </w:tcPr>
          <w:p w14:paraId="0E05B8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74542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nil"/>
              <w:right w:val="nil"/>
            </w:tcBorders>
            <w:shd w:val="clear" w:color="auto" w:fill="auto"/>
            <w:noWrap/>
            <w:vAlign w:val="center"/>
          </w:tcPr>
          <w:p w14:paraId="6CE155B1">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4F2401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20</w:t>
            </w:r>
          </w:p>
        </w:tc>
        <w:tc>
          <w:tcPr>
            <w:tcW w:w="3220" w:type="dxa"/>
            <w:tcBorders>
              <w:top w:val="nil"/>
              <w:left w:val="nil"/>
              <w:bottom w:val="nil"/>
              <w:right w:val="nil"/>
            </w:tcBorders>
            <w:shd w:val="clear" w:color="auto" w:fill="auto"/>
            <w:noWrap/>
            <w:vAlign w:val="center"/>
          </w:tcPr>
          <w:p w14:paraId="082FCC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叶片萎蔫</w:t>
            </w:r>
          </w:p>
        </w:tc>
        <w:tc>
          <w:tcPr>
            <w:tcW w:w="1946" w:type="dxa"/>
            <w:tcBorders>
              <w:top w:val="nil"/>
              <w:left w:val="nil"/>
              <w:bottom w:val="nil"/>
              <w:right w:val="nil"/>
            </w:tcBorders>
            <w:shd w:val="clear" w:color="auto" w:fill="auto"/>
            <w:noWrap/>
            <w:vAlign w:val="center"/>
          </w:tcPr>
          <w:p w14:paraId="605BB9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2C085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nil"/>
              <w:right w:val="nil"/>
            </w:tcBorders>
            <w:shd w:val="clear" w:color="auto" w:fill="auto"/>
            <w:noWrap/>
            <w:vAlign w:val="center"/>
          </w:tcPr>
          <w:p w14:paraId="0D547D90">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7588F9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25</w:t>
            </w:r>
          </w:p>
        </w:tc>
        <w:tc>
          <w:tcPr>
            <w:tcW w:w="3220" w:type="dxa"/>
            <w:tcBorders>
              <w:top w:val="nil"/>
              <w:left w:val="nil"/>
              <w:bottom w:val="nil"/>
              <w:right w:val="nil"/>
            </w:tcBorders>
            <w:shd w:val="clear" w:color="auto" w:fill="auto"/>
            <w:noWrap/>
            <w:vAlign w:val="center"/>
          </w:tcPr>
          <w:p w14:paraId="7CD438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个别下部叶片轻微发黄</w:t>
            </w:r>
          </w:p>
        </w:tc>
        <w:tc>
          <w:tcPr>
            <w:tcW w:w="1946" w:type="dxa"/>
            <w:tcBorders>
              <w:top w:val="nil"/>
              <w:left w:val="nil"/>
              <w:bottom w:val="nil"/>
              <w:right w:val="nil"/>
            </w:tcBorders>
            <w:shd w:val="clear" w:color="auto" w:fill="auto"/>
            <w:noWrap/>
            <w:vAlign w:val="center"/>
          </w:tcPr>
          <w:p w14:paraId="1BCEA3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0EAD3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nil"/>
              <w:right w:val="nil"/>
            </w:tcBorders>
            <w:shd w:val="clear" w:color="auto" w:fill="auto"/>
            <w:noWrap/>
            <w:vAlign w:val="center"/>
          </w:tcPr>
          <w:p w14:paraId="363ED7B8">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463D2D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30</w:t>
            </w:r>
          </w:p>
        </w:tc>
        <w:tc>
          <w:tcPr>
            <w:tcW w:w="3220" w:type="dxa"/>
            <w:tcBorders>
              <w:top w:val="nil"/>
              <w:left w:val="nil"/>
              <w:bottom w:val="nil"/>
              <w:right w:val="nil"/>
            </w:tcBorders>
            <w:shd w:val="clear" w:color="auto" w:fill="auto"/>
            <w:noWrap/>
            <w:vAlign w:val="center"/>
          </w:tcPr>
          <w:p w14:paraId="2D255F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叶片挺立、长势良好</w:t>
            </w:r>
          </w:p>
        </w:tc>
        <w:tc>
          <w:tcPr>
            <w:tcW w:w="1946" w:type="dxa"/>
            <w:tcBorders>
              <w:top w:val="nil"/>
              <w:left w:val="nil"/>
              <w:bottom w:val="nil"/>
              <w:right w:val="nil"/>
            </w:tcBorders>
            <w:shd w:val="clear" w:color="auto" w:fill="auto"/>
            <w:noWrap/>
            <w:vAlign w:val="center"/>
          </w:tcPr>
          <w:p w14:paraId="7BB1ED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00DFC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nil"/>
              <w:right w:val="nil"/>
            </w:tcBorders>
            <w:shd w:val="clear" w:color="auto" w:fill="auto"/>
            <w:noWrap/>
            <w:vAlign w:val="center"/>
          </w:tcPr>
          <w:p w14:paraId="0D3D83D6">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33B683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35</w:t>
            </w:r>
          </w:p>
        </w:tc>
        <w:tc>
          <w:tcPr>
            <w:tcW w:w="3220" w:type="dxa"/>
            <w:tcBorders>
              <w:top w:val="nil"/>
              <w:left w:val="nil"/>
              <w:bottom w:val="nil"/>
              <w:right w:val="nil"/>
            </w:tcBorders>
            <w:shd w:val="clear" w:color="auto" w:fill="auto"/>
            <w:noWrap/>
            <w:vAlign w:val="center"/>
          </w:tcPr>
          <w:p w14:paraId="085BAF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叶片挺立、长势良好</w:t>
            </w:r>
          </w:p>
        </w:tc>
        <w:tc>
          <w:tcPr>
            <w:tcW w:w="1946" w:type="dxa"/>
            <w:tcBorders>
              <w:top w:val="nil"/>
              <w:left w:val="nil"/>
              <w:bottom w:val="nil"/>
              <w:right w:val="nil"/>
            </w:tcBorders>
            <w:shd w:val="clear" w:color="auto" w:fill="auto"/>
            <w:noWrap/>
            <w:vAlign w:val="center"/>
          </w:tcPr>
          <w:p w14:paraId="7ED4D6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25D2A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nil"/>
              <w:right w:val="nil"/>
            </w:tcBorders>
            <w:shd w:val="clear" w:color="auto" w:fill="auto"/>
            <w:noWrap/>
            <w:vAlign w:val="center"/>
          </w:tcPr>
          <w:p w14:paraId="19DF0A81">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284A46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40</w:t>
            </w:r>
          </w:p>
        </w:tc>
        <w:tc>
          <w:tcPr>
            <w:tcW w:w="3220" w:type="dxa"/>
            <w:tcBorders>
              <w:top w:val="nil"/>
              <w:left w:val="nil"/>
              <w:bottom w:val="nil"/>
              <w:right w:val="nil"/>
            </w:tcBorders>
            <w:shd w:val="clear" w:color="auto" w:fill="auto"/>
            <w:noWrap/>
            <w:vAlign w:val="center"/>
          </w:tcPr>
          <w:p w14:paraId="371903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叶片挺立、长势良好</w:t>
            </w:r>
          </w:p>
        </w:tc>
        <w:tc>
          <w:tcPr>
            <w:tcW w:w="1946" w:type="dxa"/>
            <w:tcBorders>
              <w:top w:val="nil"/>
              <w:left w:val="nil"/>
              <w:bottom w:val="nil"/>
              <w:right w:val="nil"/>
            </w:tcBorders>
            <w:shd w:val="clear" w:color="auto" w:fill="auto"/>
            <w:noWrap/>
            <w:vAlign w:val="center"/>
          </w:tcPr>
          <w:p w14:paraId="78209D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443C4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nil"/>
              <w:right w:val="nil"/>
            </w:tcBorders>
            <w:shd w:val="clear" w:color="auto" w:fill="auto"/>
            <w:noWrap/>
            <w:vAlign w:val="center"/>
          </w:tcPr>
          <w:p w14:paraId="0E380362">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36CE10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45</w:t>
            </w:r>
          </w:p>
        </w:tc>
        <w:tc>
          <w:tcPr>
            <w:tcW w:w="3220" w:type="dxa"/>
            <w:tcBorders>
              <w:top w:val="nil"/>
              <w:left w:val="nil"/>
              <w:bottom w:val="nil"/>
              <w:right w:val="nil"/>
            </w:tcBorders>
            <w:shd w:val="clear" w:color="auto" w:fill="auto"/>
            <w:noWrap/>
            <w:vAlign w:val="center"/>
          </w:tcPr>
          <w:p w14:paraId="45A897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长势良好、耗水量大</w:t>
            </w:r>
          </w:p>
        </w:tc>
        <w:tc>
          <w:tcPr>
            <w:tcW w:w="1946" w:type="dxa"/>
            <w:tcBorders>
              <w:top w:val="nil"/>
              <w:left w:val="nil"/>
              <w:bottom w:val="nil"/>
              <w:right w:val="nil"/>
            </w:tcBorders>
            <w:shd w:val="clear" w:color="auto" w:fill="auto"/>
            <w:noWrap/>
            <w:vAlign w:val="center"/>
          </w:tcPr>
          <w:p w14:paraId="62BEFA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轻微返盐</w:t>
            </w:r>
          </w:p>
        </w:tc>
      </w:tr>
      <w:tr w14:paraId="04193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single" w:color="auto" w:sz="4" w:space="0"/>
              <w:right w:val="nil"/>
            </w:tcBorders>
            <w:shd w:val="clear" w:color="auto" w:fill="auto"/>
            <w:noWrap/>
            <w:vAlign w:val="center"/>
          </w:tcPr>
          <w:p w14:paraId="5A55C882">
            <w:pPr>
              <w:jc w:val="center"/>
              <w:rPr>
                <w:rFonts w:hint="eastAsia" w:ascii="宋体" w:hAnsi="宋体" w:eastAsia="宋体" w:cs="宋体"/>
                <w:i w:val="0"/>
                <w:iCs w:val="0"/>
                <w:color w:val="000000"/>
                <w:sz w:val="21"/>
                <w:szCs w:val="21"/>
                <w:u w:val="none"/>
              </w:rPr>
            </w:pPr>
          </w:p>
        </w:tc>
        <w:tc>
          <w:tcPr>
            <w:tcW w:w="2033" w:type="dxa"/>
            <w:tcBorders>
              <w:top w:val="nil"/>
              <w:left w:val="nil"/>
              <w:bottom w:val="single" w:color="auto" w:sz="4" w:space="0"/>
              <w:right w:val="nil"/>
            </w:tcBorders>
            <w:shd w:val="clear" w:color="auto" w:fill="auto"/>
            <w:noWrap/>
            <w:vAlign w:val="center"/>
          </w:tcPr>
          <w:p w14:paraId="59EEC4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50</w:t>
            </w:r>
          </w:p>
        </w:tc>
        <w:tc>
          <w:tcPr>
            <w:tcW w:w="3220" w:type="dxa"/>
            <w:tcBorders>
              <w:top w:val="nil"/>
              <w:left w:val="nil"/>
              <w:bottom w:val="single" w:color="000000" w:sz="4" w:space="0"/>
              <w:right w:val="nil"/>
            </w:tcBorders>
            <w:shd w:val="clear" w:color="auto" w:fill="auto"/>
            <w:noWrap/>
            <w:vAlign w:val="center"/>
          </w:tcPr>
          <w:p w14:paraId="51B7EE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长势良好、耗水量大</w:t>
            </w:r>
          </w:p>
        </w:tc>
        <w:tc>
          <w:tcPr>
            <w:tcW w:w="1946" w:type="dxa"/>
            <w:tcBorders>
              <w:top w:val="nil"/>
              <w:left w:val="nil"/>
              <w:bottom w:val="single" w:color="000000" w:sz="4" w:space="0"/>
              <w:right w:val="nil"/>
            </w:tcBorders>
            <w:shd w:val="clear" w:color="auto" w:fill="auto"/>
            <w:noWrap/>
            <w:vAlign w:val="center"/>
          </w:tcPr>
          <w:p w14:paraId="146AF1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表土返盐明显</w:t>
            </w:r>
          </w:p>
        </w:tc>
      </w:tr>
      <w:tr w14:paraId="104E8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restart"/>
            <w:tcBorders>
              <w:top w:val="single" w:color="auto" w:sz="4" w:space="0"/>
              <w:left w:val="nil"/>
              <w:bottom w:val="single" w:color="000000" w:sz="4" w:space="0"/>
              <w:right w:val="nil"/>
            </w:tcBorders>
            <w:shd w:val="clear" w:color="auto" w:fill="auto"/>
            <w:noWrap/>
            <w:vAlign w:val="center"/>
          </w:tcPr>
          <w:p w14:paraId="1514D7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鼓粒期</w:t>
            </w:r>
          </w:p>
        </w:tc>
        <w:tc>
          <w:tcPr>
            <w:tcW w:w="2033" w:type="dxa"/>
            <w:tcBorders>
              <w:top w:val="single" w:color="auto" w:sz="4" w:space="0"/>
              <w:left w:val="nil"/>
              <w:bottom w:val="nil"/>
              <w:right w:val="nil"/>
            </w:tcBorders>
            <w:shd w:val="clear" w:color="auto" w:fill="auto"/>
            <w:noWrap/>
            <w:vAlign w:val="center"/>
          </w:tcPr>
          <w:p w14:paraId="3965D1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15</w:t>
            </w:r>
          </w:p>
        </w:tc>
        <w:tc>
          <w:tcPr>
            <w:tcW w:w="3220" w:type="dxa"/>
            <w:tcBorders>
              <w:top w:val="nil"/>
              <w:left w:val="nil"/>
              <w:bottom w:val="nil"/>
              <w:right w:val="nil"/>
            </w:tcBorders>
            <w:shd w:val="clear" w:color="auto" w:fill="auto"/>
            <w:noWrap/>
            <w:vAlign w:val="center"/>
          </w:tcPr>
          <w:p w14:paraId="06DC74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分枝少、花荚少</w:t>
            </w:r>
          </w:p>
        </w:tc>
        <w:tc>
          <w:tcPr>
            <w:tcW w:w="1946" w:type="dxa"/>
            <w:tcBorders>
              <w:top w:val="nil"/>
              <w:left w:val="nil"/>
              <w:bottom w:val="nil"/>
              <w:right w:val="nil"/>
            </w:tcBorders>
            <w:shd w:val="clear" w:color="auto" w:fill="auto"/>
            <w:noWrap/>
            <w:vAlign w:val="center"/>
          </w:tcPr>
          <w:p w14:paraId="309F75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41FBB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single" w:color="000000" w:sz="4" w:space="0"/>
              <w:right w:val="nil"/>
            </w:tcBorders>
            <w:shd w:val="clear" w:color="auto" w:fill="auto"/>
            <w:noWrap/>
            <w:vAlign w:val="center"/>
          </w:tcPr>
          <w:p w14:paraId="33C1822C">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106E2A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20</w:t>
            </w:r>
          </w:p>
        </w:tc>
        <w:tc>
          <w:tcPr>
            <w:tcW w:w="3220" w:type="dxa"/>
            <w:tcBorders>
              <w:top w:val="nil"/>
              <w:left w:val="nil"/>
              <w:bottom w:val="nil"/>
              <w:right w:val="nil"/>
            </w:tcBorders>
            <w:shd w:val="clear" w:color="auto" w:fill="auto"/>
            <w:noWrap/>
            <w:vAlign w:val="center"/>
          </w:tcPr>
          <w:p w14:paraId="593193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茎秆较粗壮，分枝与花荚多</w:t>
            </w:r>
          </w:p>
        </w:tc>
        <w:tc>
          <w:tcPr>
            <w:tcW w:w="1946" w:type="dxa"/>
            <w:tcBorders>
              <w:top w:val="nil"/>
              <w:left w:val="nil"/>
              <w:bottom w:val="nil"/>
              <w:right w:val="nil"/>
            </w:tcBorders>
            <w:shd w:val="clear" w:color="auto" w:fill="auto"/>
            <w:noWrap/>
            <w:vAlign w:val="center"/>
          </w:tcPr>
          <w:p w14:paraId="251031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4B9FB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single" w:color="000000" w:sz="4" w:space="0"/>
              <w:right w:val="nil"/>
            </w:tcBorders>
            <w:shd w:val="clear" w:color="auto" w:fill="auto"/>
            <w:noWrap/>
            <w:vAlign w:val="center"/>
          </w:tcPr>
          <w:p w14:paraId="0A6EFEC6">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1E95F8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25</w:t>
            </w:r>
          </w:p>
        </w:tc>
        <w:tc>
          <w:tcPr>
            <w:tcW w:w="3220" w:type="dxa"/>
            <w:tcBorders>
              <w:top w:val="nil"/>
              <w:left w:val="nil"/>
              <w:bottom w:val="nil"/>
              <w:right w:val="nil"/>
            </w:tcBorders>
            <w:shd w:val="clear" w:color="auto" w:fill="auto"/>
            <w:noWrap/>
            <w:vAlign w:val="center"/>
          </w:tcPr>
          <w:p w14:paraId="45C8A6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茎秆粗壮，分枝与花荚多</w:t>
            </w:r>
          </w:p>
        </w:tc>
        <w:tc>
          <w:tcPr>
            <w:tcW w:w="1946" w:type="dxa"/>
            <w:tcBorders>
              <w:top w:val="nil"/>
              <w:left w:val="nil"/>
              <w:bottom w:val="nil"/>
              <w:right w:val="nil"/>
            </w:tcBorders>
            <w:shd w:val="clear" w:color="auto" w:fill="auto"/>
            <w:noWrap/>
            <w:vAlign w:val="center"/>
          </w:tcPr>
          <w:p w14:paraId="60BB00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64716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7" w:hRule="atLeast"/>
          <w:jc w:val="center"/>
        </w:trPr>
        <w:tc>
          <w:tcPr>
            <w:tcW w:w="1619" w:type="dxa"/>
            <w:vMerge w:val="continue"/>
            <w:tcBorders>
              <w:top w:val="nil"/>
              <w:left w:val="nil"/>
              <w:bottom w:val="single" w:color="000000" w:sz="4" w:space="0"/>
              <w:right w:val="nil"/>
            </w:tcBorders>
            <w:shd w:val="clear" w:color="auto" w:fill="auto"/>
            <w:noWrap/>
            <w:vAlign w:val="center"/>
          </w:tcPr>
          <w:p w14:paraId="16D2A36A">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773601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30</w:t>
            </w:r>
          </w:p>
        </w:tc>
        <w:tc>
          <w:tcPr>
            <w:tcW w:w="3220" w:type="dxa"/>
            <w:tcBorders>
              <w:top w:val="nil"/>
              <w:left w:val="nil"/>
              <w:bottom w:val="nil"/>
              <w:right w:val="nil"/>
            </w:tcBorders>
            <w:shd w:val="clear" w:color="auto" w:fill="auto"/>
            <w:noWrap/>
            <w:vAlign w:val="center"/>
          </w:tcPr>
          <w:p w14:paraId="3C83F1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茎秆粗壮，分枝与花荚多</w:t>
            </w:r>
          </w:p>
        </w:tc>
        <w:tc>
          <w:tcPr>
            <w:tcW w:w="1946" w:type="dxa"/>
            <w:tcBorders>
              <w:top w:val="nil"/>
              <w:left w:val="nil"/>
              <w:bottom w:val="nil"/>
              <w:right w:val="nil"/>
            </w:tcBorders>
            <w:shd w:val="clear" w:color="auto" w:fill="auto"/>
            <w:noWrap/>
            <w:vAlign w:val="center"/>
          </w:tcPr>
          <w:p w14:paraId="580589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236C7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1619" w:type="dxa"/>
            <w:vMerge w:val="continue"/>
            <w:tcBorders>
              <w:top w:val="nil"/>
              <w:left w:val="nil"/>
              <w:bottom w:val="single" w:color="000000" w:sz="4" w:space="0"/>
              <w:right w:val="nil"/>
            </w:tcBorders>
            <w:shd w:val="clear" w:color="auto" w:fill="auto"/>
            <w:noWrap/>
            <w:vAlign w:val="center"/>
          </w:tcPr>
          <w:p w14:paraId="5DD05FF5">
            <w:pPr>
              <w:jc w:val="center"/>
              <w:rPr>
                <w:rFonts w:hint="eastAsia" w:ascii="宋体" w:hAnsi="宋体" w:eastAsia="宋体" w:cs="宋体"/>
                <w:i w:val="0"/>
                <w:iCs w:val="0"/>
                <w:color w:val="000000"/>
                <w:sz w:val="21"/>
                <w:szCs w:val="21"/>
                <w:u w:val="none"/>
              </w:rPr>
            </w:pPr>
          </w:p>
        </w:tc>
        <w:tc>
          <w:tcPr>
            <w:tcW w:w="2033" w:type="dxa"/>
            <w:tcBorders>
              <w:top w:val="nil"/>
              <w:left w:val="nil"/>
              <w:bottom w:val="nil"/>
              <w:right w:val="nil"/>
            </w:tcBorders>
            <w:shd w:val="clear" w:color="auto" w:fill="auto"/>
            <w:noWrap/>
            <w:vAlign w:val="center"/>
          </w:tcPr>
          <w:p w14:paraId="38DA88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35</w:t>
            </w:r>
          </w:p>
        </w:tc>
        <w:tc>
          <w:tcPr>
            <w:tcW w:w="3220" w:type="dxa"/>
            <w:tcBorders>
              <w:top w:val="nil"/>
              <w:left w:val="nil"/>
              <w:bottom w:val="nil"/>
              <w:right w:val="nil"/>
            </w:tcBorders>
            <w:shd w:val="clear" w:color="auto" w:fill="auto"/>
            <w:noWrap/>
            <w:vAlign w:val="center"/>
          </w:tcPr>
          <w:p w14:paraId="5C3E81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长势良好、耗水量大</w:t>
            </w:r>
          </w:p>
        </w:tc>
        <w:tc>
          <w:tcPr>
            <w:tcW w:w="1946" w:type="dxa"/>
            <w:tcBorders>
              <w:top w:val="nil"/>
              <w:left w:val="nil"/>
              <w:bottom w:val="nil"/>
              <w:right w:val="nil"/>
            </w:tcBorders>
            <w:shd w:val="clear" w:color="auto" w:fill="auto"/>
            <w:noWrap/>
            <w:vAlign w:val="center"/>
          </w:tcPr>
          <w:p w14:paraId="0D0821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无明显返盐</w:t>
            </w:r>
          </w:p>
        </w:tc>
      </w:tr>
      <w:tr w14:paraId="18C1A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 w:hRule="atLeast"/>
          <w:jc w:val="center"/>
        </w:trPr>
        <w:tc>
          <w:tcPr>
            <w:tcW w:w="1619" w:type="dxa"/>
            <w:vMerge w:val="continue"/>
            <w:tcBorders>
              <w:top w:val="nil"/>
              <w:left w:val="nil"/>
              <w:bottom w:val="single" w:color="000000" w:sz="4" w:space="0"/>
              <w:right w:val="nil"/>
            </w:tcBorders>
            <w:shd w:val="clear" w:color="auto" w:fill="auto"/>
            <w:noWrap/>
            <w:vAlign w:val="center"/>
          </w:tcPr>
          <w:p w14:paraId="433524DB">
            <w:pPr>
              <w:jc w:val="center"/>
              <w:rPr>
                <w:rFonts w:hint="eastAsia" w:ascii="宋体" w:hAnsi="宋体" w:eastAsia="宋体" w:cs="宋体"/>
                <w:i w:val="0"/>
                <w:iCs w:val="0"/>
                <w:color w:val="000000"/>
                <w:sz w:val="21"/>
                <w:szCs w:val="21"/>
                <w:u w:val="none"/>
              </w:rPr>
            </w:pPr>
          </w:p>
        </w:tc>
        <w:tc>
          <w:tcPr>
            <w:tcW w:w="2033" w:type="dxa"/>
            <w:tcBorders>
              <w:top w:val="nil"/>
              <w:left w:val="nil"/>
              <w:bottom w:val="single" w:color="000000" w:sz="4" w:space="0"/>
              <w:right w:val="nil"/>
            </w:tcBorders>
            <w:shd w:val="clear" w:color="auto" w:fill="auto"/>
            <w:noWrap/>
            <w:vAlign w:val="center"/>
          </w:tcPr>
          <w:p w14:paraId="78D7B5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40</w:t>
            </w:r>
          </w:p>
        </w:tc>
        <w:tc>
          <w:tcPr>
            <w:tcW w:w="3220" w:type="dxa"/>
            <w:tcBorders>
              <w:top w:val="nil"/>
              <w:left w:val="nil"/>
              <w:bottom w:val="single" w:color="000000" w:sz="4" w:space="0"/>
              <w:right w:val="nil"/>
            </w:tcBorders>
            <w:shd w:val="clear" w:color="auto" w:fill="auto"/>
            <w:noWrap/>
            <w:vAlign w:val="center"/>
          </w:tcPr>
          <w:p w14:paraId="6B81EB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长势良好、耗水量大</w:t>
            </w:r>
          </w:p>
        </w:tc>
        <w:tc>
          <w:tcPr>
            <w:tcW w:w="1946" w:type="dxa"/>
            <w:tcBorders>
              <w:top w:val="nil"/>
              <w:left w:val="nil"/>
              <w:bottom w:val="single" w:color="000000" w:sz="4" w:space="0"/>
              <w:right w:val="nil"/>
            </w:tcBorders>
            <w:shd w:val="clear" w:color="auto" w:fill="auto"/>
            <w:noWrap/>
            <w:vAlign w:val="center"/>
          </w:tcPr>
          <w:p w14:paraId="5B1484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轻微返盐</w:t>
            </w:r>
          </w:p>
        </w:tc>
      </w:tr>
    </w:tbl>
    <w:p w14:paraId="1BC0CAF3">
      <w:pPr>
        <w:pStyle w:val="41"/>
        <w:numPr>
          <w:ilvl w:val="0"/>
          <w:numId w:val="6"/>
        </w:numPr>
        <w:spacing w:line="360" w:lineRule="auto"/>
        <w:ind w:left="0" w:leftChars="0" w:firstLine="482" w:firstLineChars="200"/>
        <w:jc w:val="left"/>
        <w:outlineLvl w:val="1"/>
        <w:rPr>
          <w:rFonts w:hint="eastAsia" w:ascii="方正仿宋_GB2312" w:hAnsi="方正仿宋_GB2312" w:eastAsia="方正仿宋_GB2312" w:cs="方正仿宋_GB2312"/>
          <w:b/>
          <w:snapToGrid w:val="0"/>
          <w:color w:val="000000"/>
          <w:kern w:val="44"/>
          <w:sz w:val="24"/>
          <w:szCs w:val="24"/>
          <w:lang w:val="en-US" w:eastAsia="zh-CN" w:bidi="ar-SA"/>
          <w14:ligatures w14:val="none"/>
        </w:rPr>
      </w:pPr>
      <w:bookmarkStart w:id="22" w:name="_Toc24424"/>
      <w:r>
        <w:rPr>
          <w:rFonts w:hint="eastAsia" w:ascii="方正仿宋_GB2312" w:hAnsi="方正仿宋_GB2312" w:eastAsia="方正仿宋_GB2312" w:cs="方正仿宋_GB2312"/>
          <w:b/>
          <w:snapToGrid w:val="0"/>
          <w:color w:val="000000"/>
          <w:kern w:val="44"/>
          <w:sz w:val="24"/>
          <w:szCs w:val="24"/>
          <w:lang w:val="en-US" w:eastAsia="zh-CN" w:bidi="ar-SA"/>
          <w14:ligatures w14:val="none"/>
        </w:rPr>
        <w:t>不同施肥量对植株长势影响试验</w:t>
      </w:r>
      <w:bookmarkEnd w:id="22"/>
    </w:p>
    <w:p w14:paraId="10BE9B15">
      <w:pPr>
        <w:spacing w:line="360" w:lineRule="auto"/>
        <w:ind w:firstLine="480" w:firstLineChars="200"/>
        <w:jc w:val="left"/>
        <w:rPr>
          <w:rFonts w:hint="default" w:ascii="Times New Roman" w:hAnsi="Times New Roman" w:eastAsia="仿宋_GB2312" w:cs="Times New Roman"/>
          <w:kern w:val="2"/>
          <w:sz w:val="10"/>
          <w:szCs w:val="10"/>
          <w:lang w:val="en-US" w:eastAsia="zh-CN" w:bidi="ar-SA"/>
          <w14:ligatures w14:val="standardContextual"/>
        </w:rPr>
      </w:pPr>
      <w:r>
        <w:rPr>
          <w:rFonts w:hint="eastAsia" w:ascii="Times New Roman" w:hAnsi="Times New Roman" w:eastAsia="Arial" w:cs="Arial"/>
          <w:snapToGrid w:val="0"/>
          <w:color w:val="000000"/>
          <w:kern w:val="0"/>
          <w:sz w:val="24"/>
          <w:szCs w:val="24"/>
          <w:lang w:val="en-US" w:eastAsia="zh-CN"/>
          <w14:ligatures w14:val="none"/>
        </w:rPr>
        <w:t>施肥处理设置三类梯度：①基肥梯度，有机肥设 2000kg/亩、2500kg/亩、3000kg/亩，搭配磷酸二铵 10kg/亩、15kg/亩、20kg/亩；②滴灌追肥梯度，于苗期、分枝期、现蕾期配施不同用量氮肥与土壤调节剂；③叶面肥梯度，于分枝—蕾期分别设 7 天、10 天、15 天喷施间隔。各处理于关键生育期调查叶色、株高、分枝数、花荚数及脱肥黄叶情况，综合评价植株长势。两年两点试验结果表明：基肥施用量不足时，植株叶色偏淡、生长缓慢，分枝数与花荚数偏少；基肥施用量适宜时，植株叶色浓绿、茎秆健壮、分枝与结荚正常，长势良好；滴灌追肥与叶面肥配合施用，可保持长势稳定。不同施肥处理对植株长势的影响见表3。</w:t>
      </w:r>
    </w:p>
    <w:p w14:paraId="414AE0A8">
      <w:pPr>
        <w:pStyle w:val="41"/>
        <w:numPr>
          <w:ilvl w:val="0"/>
          <w:numId w:val="0"/>
        </w:numPr>
        <w:spacing w:line="360" w:lineRule="auto"/>
        <w:jc w:val="center"/>
        <w:outlineLvl w:val="0"/>
        <w:rPr>
          <w:rFonts w:hint="eastAsia" w:ascii="Times New Roman" w:hAnsi="Times New Roman" w:eastAsia="仿宋_GB2312" w:cs="Times New Roman"/>
          <w:b/>
          <w:bCs/>
          <w:kern w:val="2"/>
          <w:sz w:val="24"/>
          <w:szCs w:val="24"/>
          <w:lang w:val="en-US" w:eastAsia="zh-CN" w:bidi="ar-SA"/>
          <w14:ligatures w14:val="standardContextual"/>
        </w:rPr>
      </w:pPr>
      <w:bookmarkStart w:id="23" w:name="_Toc28350"/>
      <w:bookmarkStart w:id="24" w:name="_Toc28030"/>
      <w:r>
        <w:rPr>
          <w:rFonts w:hint="eastAsia" w:ascii="Times New Roman" w:hAnsi="Times New Roman" w:eastAsia="仿宋_GB2312" w:cs="Times New Roman"/>
          <w:b/>
          <w:bCs/>
          <w:kern w:val="2"/>
          <w:sz w:val="24"/>
          <w:szCs w:val="24"/>
          <w:lang w:val="en-US" w:eastAsia="zh-CN" w:bidi="ar-SA"/>
          <w14:ligatures w14:val="standardContextual"/>
        </w:rPr>
        <w:t>表3  不同施肥量对植株长势影响试验</w:t>
      </w:r>
      <w:bookmarkEnd w:id="23"/>
      <w:bookmarkEnd w:id="24"/>
    </w:p>
    <w:tbl>
      <w:tblPr>
        <w:tblStyle w:val="23"/>
        <w:tblW w:w="103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97"/>
        <w:gridCol w:w="3842"/>
        <w:gridCol w:w="2898"/>
        <w:gridCol w:w="2020"/>
      </w:tblGrid>
      <w:tr w14:paraId="467DD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jc w:val="center"/>
        </w:trPr>
        <w:tc>
          <w:tcPr>
            <w:tcW w:w="1597" w:type="dxa"/>
            <w:tcBorders>
              <w:top w:val="single" w:color="000000" w:sz="4" w:space="0"/>
              <w:left w:val="nil"/>
              <w:bottom w:val="single" w:color="000000" w:sz="4" w:space="0"/>
              <w:right w:val="nil"/>
            </w:tcBorders>
            <w:shd w:val="clear" w:color="auto" w:fill="auto"/>
            <w:noWrap/>
            <w:vAlign w:val="center"/>
          </w:tcPr>
          <w:p w14:paraId="719902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生育期</w:t>
            </w:r>
          </w:p>
        </w:tc>
        <w:tc>
          <w:tcPr>
            <w:tcW w:w="3842" w:type="dxa"/>
            <w:tcBorders>
              <w:top w:val="single" w:color="000000" w:sz="4" w:space="0"/>
              <w:left w:val="nil"/>
              <w:bottom w:val="single" w:color="000000" w:sz="4" w:space="0"/>
              <w:right w:val="nil"/>
            </w:tcBorders>
            <w:shd w:val="clear" w:color="auto" w:fill="auto"/>
            <w:noWrap/>
            <w:vAlign w:val="center"/>
          </w:tcPr>
          <w:p w14:paraId="554DEE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施肥量</w:t>
            </w:r>
          </w:p>
        </w:tc>
        <w:tc>
          <w:tcPr>
            <w:tcW w:w="2898" w:type="dxa"/>
            <w:tcBorders>
              <w:top w:val="single" w:color="000000" w:sz="4" w:space="0"/>
              <w:left w:val="nil"/>
              <w:bottom w:val="single" w:color="000000" w:sz="4" w:space="0"/>
              <w:right w:val="nil"/>
            </w:tcBorders>
            <w:shd w:val="clear" w:color="auto" w:fill="auto"/>
            <w:noWrap/>
            <w:vAlign w:val="center"/>
          </w:tcPr>
          <w:p w14:paraId="287655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叶色与株高</w:t>
            </w:r>
          </w:p>
        </w:tc>
        <w:tc>
          <w:tcPr>
            <w:tcW w:w="2020" w:type="dxa"/>
            <w:tcBorders>
              <w:top w:val="single" w:color="000000" w:sz="4" w:space="0"/>
              <w:left w:val="nil"/>
              <w:bottom w:val="single" w:color="000000" w:sz="4" w:space="0"/>
              <w:right w:val="nil"/>
            </w:tcBorders>
            <w:shd w:val="clear" w:color="auto" w:fill="auto"/>
            <w:noWrap/>
            <w:vAlign w:val="center"/>
          </w:tcPr>
          <w:p w14:paraId="6C9A2A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分枝与花荚数</w:t>
            </w:r>
          </w:p>
        </w:tc>
      </w:tr>
      <w:tr w14:paraId="73335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0" w:type="auto"/>
            <w:vMerge w:val="restart"/>
            <w:tcBorders>
              <w:top w:val="nil"/>
              <w:left w:val="nil"/>
              <w:bottom w:val="single" w:color="000000" w:sz="4" w:space="0"/>
              <w:right w:val="nil"/>
            </w:tcBorders>
            <w:shd w:val="clear" w:color="auto" w:fill="auto"/>
            <w:noWrap/>
            <w:vAlign w:val="center"/>
          </w:tcPr>
          <w:p w14:paraId="651438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基肥</w:t>
            </w:r>
          </w:p>
        </w:tc>
        <w:tc>
          <w:tcPr>
            <w:tcW w:w="0" w:type="auto"/>
            <w:tcBorders>
              <w:top w:val="nil"/>
              <w:left w:val="nil"/>
              <w:bottom w:val="nil"/>
              <w:right w:val="nil"/>
            </w:tcBorders>
            <w:shd w:val="clear" w:color="auto" w:fill="auto"/>
            <w:noWrap/>
            <w:vAlign w:val="center"/>
          </w:tcPr>
          <w:p w14:paraId="1DB14D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有机肥2000kg/亩＋磷酸二铵10kg/亩</w:t>
            </w:r>
          </w:p>
        </w:tc>
        <w:tc>
          <w:tcPr>
            <w:tcW w:w="0" w:type="auto"/>
            <w:tcBorders>
              <w:top w:val="nil"/>
              <w:left w:val="nil"/>
              <w:bottom w:val="nil"/>
              <w:right w:val="nil"/>
            </w:tcBorders>
            <w:shd w:val="clear" w:color="auto" w:fill="auto"/>
            <w:noWrap/>
            <w:vAlign w:val="center"/>
          </w:tcPr>
          <w:p w14:paraId="12DAC8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叶色偏淡，生长缓慢</w:t>
            </w:r>
          </w:p>
        </w:tc>
        <w:tc>
          <w:tcPr>
            <w:tcW w:w="0" w:type="auto"/>
            <w:tcBorders>
              <w:top w:val="nil"/>
              <w:left w:val="nil"/>
              <w:bottom w:val="nil"/>
              <w:right w:val="nil"/>
            </w:tcBorders>
            <w:shd w:val="clear" w:color="auto" w:fill="auto"/>
            <w:noWrap/>
            <w:vAlign w:val="center"/>
          </w:tcPr>
          <w:p w14:paraId="393262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偏少</w:t>
            </w:r>
          </w:p>
        </w:tc>
      </w:tr>
      <w:tr w14:paraId="16179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0" w:type="auto"/>
            <w:vMerge w:val="continue"/>
            <w:tcBorders>
              <w:top w:val="nil"/>
              <w:left w:val="nil"/>
              <w:bottom w:val="single" w:color="000000" w:sz="4" w:space="0"/>
              <w:right w:val="nil"/>
            </w:tcBorders>
            <w:shd w:val="clear" w:color="auto" w:fill="auto"/>
            <w:noWrap/>
            <w:vAlign w:val="center"/>
          </w:tcPr>
          <w:p w14:paraId="56FB3715">
            <w:pPr>
              <w:jc w:val="center"/>
              <w:rPr>
                <w:rFonts w:hint="eastAsia" w:ascii="宋体" w:hAnsi="宋体" w:eastAsia="宋体" w:cs="宋体"/>
                <w:i w:val="0"/>
                <w:iCs w:val="0"/>
                <w:color w:val="000000"/>
                <w:sz w:val="21"/>
                <w:szCs w:val="21"/>
                <w:u w:val="none"/>
              </w:rPr>
            </w:pPr>
          </w:p>
        </w:tc>
        <w:tc>
          <w:tcPr>
            <w:tcW w:w="0" w:type="auto"/>
            <w:tcBorders>
              <w:top w:val="nil"/>
              <w:left w:val="nil"/>
              <w:bottom w:val="nil"/>
              <w:right w:val="nil"/>
            </w:tcBorders>
            <w:shd w:val="clear" w:color="auto" w:fill="auto"/>
            <w:noWrap/>
            <w:vAlign w:val="center"/>
          </w:tcPr>
          <w:p w14:paraId="519B7D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有机肥2500kg/亩＋磷酸二铵15kg/亩</w:t>
            </w:r>
          </w:p>
        </w:tc>
        <w:tc>
          <w:tcPr>
            <w:tcW w:w="0" w:type="auto"/>
            <w:tcBorders>
              <w:top w:val="nil"/>
              <w:left w:val="nil"/>
              <w:bottom w:val="nil"/>
              <w:right w:val="nil"/>
            </w:tcBorders>
            <w:shd w:val="clear" w:color="auto" w:fill="auto"/>
            <w:noWrap/>
            <w:vAlign w:val="center"/>
          </w:tcPr>
          <w:p w14:paraId="058966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叶色浓绿，生长正常</w:t>
            </w:r>
          </w:p>
        </w:tc>
        <w:tc>
          <w:tcPr>
            <w:tcW w:w="0" w:type="auto"/>
            <w:tcBorders>
              <w:top w:val="nil"/>
              <w:left w:val="nil"/>
              <w:bottom w:val="nil"/>
              <w:right w:val="nil"/>
            </w:tcBorders>
            <w:shd w:val="clear" w:color="auto" w:fill="auto"/>
            <w:noWrap/>
            <w:vAlign w:val="center"/>
          </w:tcPr>
          <w:p w14:paraId="480C43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正常</w:t>
            </w:r>
          </w:p>
        </w:tc>
      </w:tr>
      <w:tr w14:paraId="2AFF8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0" w:type="auto"/>
            <w:vMerge w:val="continue"/>
            <w:tcBorders>
              <w:top w:val="nil"/>
              <w:left w:val="nil"/>
              <w:bottom w:val="single" w:color="000000" w:sz="4" w:space="0"/>
              <w:right w:val="nil"/>
            </w:tcBorders>
            <w:shd w:val="clear" w:color="auto" w:fill="auto"/>
            <w:noWrap/>
            <w:vAlign w:val="center"/>
          </w:tcPr>
          <w:p w14:paraId="09C9CF76">
            <w:pPr>
              <w:jc w:val="center"/>
              <w:rPr>
                <w:rFonts w:hint="eastAsia" w:ascii="宋体" w:hAnsi="宋体" w:eastAsia="宋体" w:cs="宋体"/>
                <w:i w:val="0"/>
                <w:iCs w:val="0"/>
                <w:color w:val="000000"/>
                <w:sz w:val="21"/>
                <w:szCs w:val="21"/>
                <w:u w:val="none"/>
              </w:rPr>
            </w:pPr>
          </w:p>
        </w:tc>
        <w:tc>
          <w:tcPr>
            <w:tcW w:w="0" w:type="auto"/>
            <w:tcBorders>
              <w:top w:val="nil"/>
              <w:left w:val="nil"/>
              <w:bottom w:val="single" w:color="000000" w:sz="4" w:space="0"/>
              <w:right w:val="nil"/>
            </w:tcBorders>
            <w:shd w:val="clear" w:color="auto" w:fill="auto"/>
            <w:noWrap/>
            <w:vAlign w:val="center"/>
          </w:tcPr>
          <w:p w14:paraId="25A8D8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有机肥3000kg/亩＋磷酸二铵20kg/亩</w:t>
            </w:r>
          </w:p>
        </w:tc>
        <w:tc>
          <w:tcPr>
            <w:tcW w:w="0" w:type="auto"/>
            <w:tcBorders>
              <w:top w:val="nil"/>
              <w:left w:val="nil"/>
              <w:bottom w:val="single" w:color="000000" w:sz="4" w:space="0"/>
              <w:right w:val="nil"/>
            </w:tcBorders>
            <w:shd w:val="clear" w:color="auto" w:fill="auto"/>
            <w:noWrap/>
            <w:vAlign w:val="center"/>
          </w:tcPr>
          <w:p w14:paraId="5794A6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叶色浓绿，生长旺盛</w:t>
            </w:r>
          </w:p>
        </w:tc>
        <w:tc>
          <w:tcPr>
            <w:tcW w:w="0" w:type="auto"/>
            <w:tcBorders>
              <w:top w:val="nil"/>
              <w:left w:val="nil"/>
              <w:bottom w:val="single" w:color="000000" w:sz="4" w:space="0"/>
              <w:right w:val="nil"/>
            </w:tcBorders>
            <w:shd w:val="clear" w:color="auto" w:fill="auto"/>
            <w:noWrap/>
            <w:vAlign w:val="center"/>
          </w:tcPr>
          <w:p w14:paraId="551DE1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正常</w:t>
            </w:r>
          </w:p>
        </w:tc>
      </w:tr>
      <w:tr w14:paraId="7AB48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0" w:type="auto"/>
            <w:vMerge w:val="restart"/>
            <w:tcBorders>
              <w:top w:val="nil"/>
              <w:left w:val="nil"/>
              <w:bottom w:val="single" w:color="000000" w:sz="4" w:space="0"/>
              <w:right w:val="nil"/>
            </w:tcBorders>
            <w:shd w:val="clear" w:color="auto" w:fill="auto"/>
            <w:noWrap/>
            <w:vAlign w:val="center"/>
          </w:tcPr>
          <w:p w14:paraId="3DF063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滴灌追肥</w:t>
            </w:r>
          </w:p>
        </w:tc>
        <w:tc>
          <w:tcPr>
            <w:tcW w:w="0" w:type="auto"/>
            <w:tcBorders>
              <w:top w:val="nil"/>
              <w:left w:val="nil"/>
              <w:bottom w:val="nil"/>
              <w:right w:val="nil"/>
            </w:tcBorders>
            <w:shd w:val="clear" w:color="auto" w:fill="auto"/>
            <w:noWrap/>
            <w:vAlign w:val="center"/>
          </w:tcPr>
          <w:p w14:paraId="3E5C2B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氮肥10kg/亩</w:t>
            </w:r>
          </w:p>
        </w:tc>
        <w:tc>
          <w:tcPr>
            <w:tcW w:w="0" w:type="auto"/>
            <w:tcBorders>
              <w:top w:val="nil"/>
              <w:left w:val="nil"/>
              <w:bottom w:val="nil"/>
              <w:right w:val="nil"/>
            </w:tcBorders>
            <w:shd w:val="clear" w:color="auto" w:fill="auto"/>
            <w:noWrap/>
            <w:vAlign w:val="center"/>
          </w:tcPr>
          <w:p w14:paraId="23871F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叶片挺立、长势良好</w:t>
            </w:r>
          </w:p>
        </w:tc>
        <w:tc>
          <w:tcPr>
            <w:tcW w:w="0" w:type="auto"/>
            <w:tcBorders>
              <w:top w:val="nil"/>
              <w:left w:val="nil"/>
              <w:bottom w:val="nil"/>
              <w:right w:val="nil"/>
            </w:tcBorders>
            <w:shd w:val="clear" w:color="auto" w:fill="auto"/>
            <w:noWrap/>
            <w:vAlign w:val="center"/>
          </w:tcPr>
          <w:p w14:paraId="43F557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偏少</w:t>
            </w:r>
          </w:p>
        </w:tc>
      </w:tr>
      <w:tr w14:paraId="2FC97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0" w:type="auto"/>
            <w:vMerge w:val="continue"/>
            <w:tcBorders>
              <w:top w:val="nil"/>
              <w:left w:val="nil"/>
              <w:bottom w:val="single" w:color="000000" w:sz="4" w:space="0"/>
              <w:right w:val="nil"/>
            </w:tcBorders>
            <w:shd w:val="clear" w:color="auto" w:fill="auto"/>
            <w:noWrap/>
            <w:vAlign w:val="center"/>
          </w:tcPr>
          <w:p w14:paraId="6DF769E3">
            <w:pPr>
              <w:jc w:val="center"/>
              <w:rPr>
                <w:rFonts w:hint="eastAsia" w:ascii="宋体" w:hAnsi="宋体" w:eastAsia="宋体" w:cs="宋体"/>
                <w:i w:val="0"/>
                <w:iCs w:val="0"/>
                <w:color w:val="000000"/>
                <w:sz w:val="21"/>
                <w:szCs w:val="21"/>
                <w:u w:val="none"/>
              </w:rPr>
            </w:pPr>
          </w:p>
        </w:tc>
        <w:tc>
          <w:tcPr>
            <w:tcW w:w="0" w:type="auto"/>
            <w:tcBorders>
              <w:top w:val="nil"/>
              <w:left w:val="nil"/>
              <w:bottom w:val="nil"/>
              <w:right w:val="nil"/>
            </w:tcBorders>
            <w:shd w:val="clear" w:color="auto" w:fill="auto"/>
            <w:noWrap/>
            <w:vAlign w:val="center"/>
          </w:tcPr>
          <w:p w14:paraId="1076A3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氮肥15kg/亩</w:t>
            </w:r>
          </w:p>
        </w:tc>
        <w:tc>
          <w:tcPr>
            <w:tcW w:w="0" w:type="auto"/>
            <w:tcBorders>
              <w:top w:val="nil"/>
              <w:left w:val="nil"/>
              <w:bottom w:val="nil"/>
              <w:right w:val="nil"/>
            </w:tcBorders>
            <w:shd w:val="clear" w:color="auto" w:fill="auto"/>
            <w:noWrap/>
            <w:vAlign w:val="center"/>
          </w:tcPr>
          <w:p w14:paraId="48B853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株高整齐、叶片浓绿有光泽</w:t>
            </w:r>
          </w:p>
        </w:tc>
        <w:tc>
          <w:tcPr>
            <w:tcW w:w="0" w:type="auto"/>
            <w:tcBorders>
              <w:top w:val="nil"/>
              <w:left w:val="nil"/>
              <w:bottom w:val="nil"/>
              <w:right w:val="nil"/>
            </w:tcBorders>
            <w:shd w:val="clear" w:color="auto" w:fill="auto"/>
            <w:noWrap/>
            <w:vAlign w:val="center"/>
          </w:tcPr>
          <w:p w14:paraId="5E0EFC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正常</w:t>
            </w:r>
          </w:p>
        </w:tc>
      </w:tr>
      <w:tr w14:paraId="0048A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0" w:type="auto"/>
            <w:vMerge w:val="continue"/>
            <w:tcBorders>
              <w:top w:val="nil"/>
              <w:left w:val="nil"/>
              <w:bottom w:val="single" w:color="auto" w:sz="4" w:space="0"/>
              <w:right w:val="nil"/>
            </w:tcBorders>
            <w:shd w:val="clear" w:color="auto" w:fill="auto"/>
            <w:noWrap/>
            <w:vAlign w:val="center"/>
          </w:tcPr>
          <w:p w14:paraId="5E58A981">
            <w:pPr>
              <w:jc w:val="center"/>
              <w:rPr>
                <w:rFonts w:hint="eastAsia" w:ascii="宋体" w:hAnsi="宋体" w:eastAsia="宋体" w:cs="宋体"/>
                <w:i w:val="0"/>
                <w:iCs w:val="0"/>
                <w:color w:val="000000"/>
                <w:sz w:val="21"/>
                <w:szCs w:val="21"/>
                <w:u w:val="none"/>
              </w:rPr>
            </w:pPr>
          </w:p>
        </w:tc>
        <w:tc>
          <w:tcPr>
            <w:tcW w:w="0" w:type="auto"/>
            <w:tcBorders>
              <w:top w:val="nil"/>
              <w:left w:val="nil"/>
              <w:bottom w:val="single" w:color="auto" w:sz="4" w:space="0"/>
              <w:right w:val="nil"/>
            </w:tcBorders>
            <w:shd w:val="clear" w:color="auto" w:fill="auto"/>
            <w:noWrap/>
            <w:vAlign w:val="center"/>
          </w:tcPr>
          <w:p w14:paraId="1C5711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氮肥20kg/亩</w:t>
            </w:r>
          </w:p>
        </w:tc>
        <w:tc>
          <w:tcPr>
            <w:tcW w:w="0" w:type="auto"/>
            <w:tcBorders>
              <w:top w:val="nil"/>
              <w:left w:val="nil"/>
              <w:bottom w:val="single" w:color="auto" w:sz="4" w:space="0"/>
              <w:right w:val="nil"/>
            </w:tcBorders>
            <w:shd w:val="clear" w:color="auto" w:fill="auto"/>
            <w:noWrap/>
            <w:vAlign w:val="center"/>
          </w:tcPr>
          <w:p w14:paraId="6E7142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茎秆粗壮，分枝与花荚多</w:t>
            </w:r>
          </w:p>
        </w:tc>
        <w:tc>
          <w:tcPr>
            <w:tcW w:w="0" w:type="auto"/>
            <w:tcBorders>
              <w:top w:val="nil"/>
              <w:left w:val="nil"/>
              <w:bottom w:val="single" w:color="auto" w:sz="4" w:space="0"/>
              <w:right w:val="nil"/>
            </w:tcBorders>
            <w:shd w:val="clear" w:color="auto" w:fill="auto"/>
            <w:noWrap/>
            <w:vAlign w:val="center"/>
          </w:tcPr>
          <w:p w14:paraId="09C673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较多</w:t>
            </w:r>
          </w:p>
        </w:tc>
      </w:tr>
      <w:tr w14:paraId="546B3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0" w:type="auto"/>
            <w:vMerge w:val="restart"/>
            <w:tcBorders>
              <w:top w:val="single" w:color="auto" w:sz="4" w:space="0"/>
              <w:left w:val="nil"/>
              <w:bottom w:val="nil"/>
              <w:right w:val="nil"/>
            </w:tcBorders>
            <w:shd w:val="clear" w:color="auto" w:fill="auto"/>
            <w:noWrap/>
            <w:vAlign w:val="center"/>
          </w:tcPr>
          <w:p w14:paraId="2F2ADE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shd w:val="clear"/>
                <w:lang w:val="en-US" w:eastAsia="zh-CN" w:bidi="ar"/>
                <w14:ligatures w14:val="standardContextual"/>
              </w:rPr>
              <w:t>叶面肥</w:t>
            </w:r>
          </w:p>
        </w:tc>
        <w:tc>
          <w:tcPr>
            <w:tcW w:w="0" w:type="auto"/>
            <w:tcBorders>
              <w:top w:val="single" w:color="auto" w:sz="4" w:space="0"/>
              <w:left w:val="nil"/>
              <w:bottom w:val="nil"/>
              <w:right w:val="nil"/>
            </w:tcBorders>
            <w:shd w:val="clear" w:color="auto" w:fill="auto"/>
            <w:noWrap/>
            <w:vAlign w:val="center"/>
          </w:tcPr>
          <w:p w14:paraId="21EE61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每7天一次，连喷3次</w:t>
            </w:r>
          </w:p>
        </w:tc>
        <w:tc>
          <w:tcPr>
            <w:tcW w:w="0" w:type="auto"/>
            <w:tcBorders>
              <w:top w:val="single" w:color="auto" w:sz="4" w:space="0"/>
              <w:left w:val="nil"/>
              <w:bottom w:val="nil"/>
              <w:right w:val="nil"/>
            </w:tcBorders>
            <w:shd w:val="clear" w:color="auto" w:fill="auto"/>
            <w:noWrap/>
            <w:vAlign w:val="center"/>
          </w:tcPr>
          <w:p w14:paraId="541667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叶色偏淡</w:t>
            </w:r>
          </w:p>
        </w:tc>
        <w:tc>
          <w:tcPr>
            <w:tcW w:w="0" w:type="auto"/>
            <w:tcBorders>
              <w:top w:val="single" w:color="auto" w:sz="4" w:space="0"/>
              <w:left w:val="nil"/>
              <w:bottom w:val="nil"/>
              <w:right w:val="nil"/>
            </w:tcBorders>
            <w:shd w:val="clear" w:color="auto" w:fill="auto"/>
            <w:noWrap/>
            <w:vAlign w:val="center"/>
          </w:tcPr>
          <w:p w14:paraId="3D28FE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正常</w:t>
            </w:r>
          </w:p>
        </w:tc>
      </w:tr>
      <w:tr w14:paraId="2C104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0" w:type="auto"/>
            <w:vMerge w:val="continue"/>
            <w:tcBorders>
              <w:top w:val="nil"/>
              <w:left w:val="nil"/>
              <w:bottom w:val="single" w:color="000000" w:sz="4" w:space="0"/>
              <w:right w:val="nil"/>
            </w:tcBorders>
            <w:shd w:val="clear" w:color="auto" w:fill="auto"/>
            <w:noWrap/>
            <w:vAlign w:val="center"/>
          </w:tcPr>
          <w:p w14:paraId="22D1B732">
            <w:pPr>
              <w:jc w:val="center"/>
              <w:rPr>
                <w:rFonts w:hint="eastAsia" w:ascii="宋体" w:hAnsi="宋体" w:eastAsia="宋体" w:cs="宋体"/>
                <w:i w:val="0"/>
                <w:iCs w:val="0"/>
                <w:color w:val="000000"/>
                <w:sz w:val="21"/>
                <w:szCs w:val="21"/>
                <w:u w:val="none"/>
              </w:rPr>
            </w:pPr>
          </w:p>
        </w:tc>
        <w:tc>
          <w:tcPr>
            <w:tcW w:w="0" w:type="auto"/>
            <w:tcBorders>
              <w:top w:val="nil"/>
              <w:left w:val="nil"/>
              <w:bottom w:val="nil"/>
              <w:right w:val="nil"/>
            </w:tcBorders>
            <w:shd w:val="clear" w:color="auto" w:fill="auto"/>
            <w:noWrap/>
            <w:vAlign w:val="center"/>
          </w:tcPr>
          <w:p w14:paraId="07196E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每10天一次，连喷3次</w:t>
            </w:r>
          </w:p>
        </w:tc>
        <w:tc>
          <w:tcPr>
            <w:tcW w:w="0" w:type="auto"/>
            <w:tcBorders>
              <w:top w:val="nil"/>
              <w:left w:val="nil"/>
              <w:bottom w:val="nil"/>
              <w:right w:val="nil"/>
            </w:tcBorders>
            <w:shd w:val="clear" w:color="auto" w:fill="auto"/>
            <w:noWrap/>
            <w:vAlign w:val="center"/>
          </w:tcPr>
          <w:p w14:paraId="1B17A3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叶色浓绿有光泽</w:t>
            </w:r>
          </w:p>
        </w:tc>
        <w:tc>
          <w:tcPr>
            <w:tcW w:w="0" w:type="auto"/>
            <w:tcBorders>
              <w:top w:val="nil"/>
              <w:left w:val="nil"/>
              <w:bottom w:val="nil"/>
              <w:right w:val="nil"/>
            </w:tcBorders>
            <w:shd w:val="clear" w:color="auto" w:fill="auto"/>
            <w:noWrap/>
            <w:vAlign w:val="center"/>
          </w:tcPr>
          <w:p w14:paraId="0C7D5C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正常</w:t>
            </w:r>
          </w:p>
        </w:tc>
      </w:tr>
      <w:tr w14:paraId="29579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jc w:val="center"/>
        </w:trPr>
        <w:tc>
          <w:tcPr>
            <w:tcW w:w="0" w:type="auto"/>
            <w:vMerge w:val="continue"/>
            <w:tcBorders>
              <w:top w:val="nil"/>
              <w:left w:val="nil"/>
              <w:bottom w:val="single" w:color="000000" w:sz="4" w:space="0"/>
              <w:right w:val="nil"/>
            </w:tcBorders>
            <w:shd w:val="clear" w:color="auto" w:fill="auto"/>
            <w:noWrap/>
            <w:vAlign w:val="center"/>
          </w:tcPr>
          <w:p w14:paraId="358820B8">
            <w:pPr>
              <w:jc w:val="center"/>
              <w:rPr>
                <w:rFonts w:hint="eastAsia" w:ascii="宋体" w:hAnsi="宋体" w:eastAsia="宋体" w:cs="宋体"/>
                <w:i w:val="0"/>
                <w:iCs w:val="0"/>
                <w:color w:val="000000"/>
                <w:sz w:val="21"/>
                <w:szCs w:val="21"/>
                <w:u w:val="none"/>
              </w:rPr>
            </w:pPr>
          </w:p>
        </w:tc>
        <w:tc>
          <w:tcPr>
            <w:tcW w:w="0" w:type="auto"/>
            <w:tcBorders>
              <w:top w:val="nil"/>
              <w:left w:val="nil"/>
              <w:bottom w:val="single" w:color="000000" w:sz="4" w:space="0"/>
              <w:right w:val="nil"/>
            </w:tcBorders>
            <w:shd w:val="clear" w:color="auto" w:fill="auto"/>
            <w:noWrap/>
            <w:vAlign w:val="center"/>
          </w:tcPr>
          <w:p w14:paraId="32583D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每15天一次，连喷3次</w:t>
            </w:r>
          </w:p>
        </w:tc>
        <w:tc>
          <w:tcPr>
            <w:tcW w:w="0" w:type="auto"/>
            <w:tcBorders>
              <w:top w:val="nil"/>
              <w:left w:val="nil"/>
              <w:bottom w:val="single" w:color="000000" w:sz="4" w:space="0"/>
              <w:right w:val="nil"/>
            </w:tcBorders>
            <w:shd w:val="clear" w:color="auto" w:fill="auto"/>
            <w:noWrap/>
            <w:vAlign w:val="center"/>
          </w:tcPr>
          <w:p w14:paraId="539955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叶色正常，长势良好</w:t>
            </w:r>
          </w:p>
        </w:tc>
        <w:tc>
          <w:tcPr>
            <w:tcW w:w="0" w:type="auto"/>
            <w:tcBorders>
              <w:top w:val="nil"/>
              <w:left w:val="nil"/>
              <w:bottom w:val="single" w:color="000000" w:sz="4" w:space="0"/>
              <w:right w:val="nil"/>
            </w:tcBorders>
            <w:shd w:val="clear" w:color="auto" w:fill="auto"/>
            <w:noWrap/>
            <w:vAlign w:val="center"/>
          </w:tcPr>
          <w:p w14:paraId="61BA92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正常</w:t>
            </w:r>
          </w:p>
        </w:tc>
      </w:tr>
    </w:tbl>
    <w:p w14:paraId="3F2374E8">
      <w:pPr>
        <w:pStyle w:val="41"/>
        <w:numPr>
          <w:ilvl w:val="0"/>
          <w:numId w:val="0"/>
        </w:numPr>
        <w:spacing w:line="360" w:lineRule="auto"/>
        <w:ind w:firstLine="482" w:firstLineChars="200"/>
        <w:jc w:val="left"/>
        <w:outlineLvl w:val="9"/>
        <w:rPr>
          <w:rFonts w:hint="eastAsia" w:ascii="Times New Roman" w:hAnsi="Times New Roman" w:eastAsia="仿宋_GB2312" w:cs="Times New Roman"/>
          <w:b/>
          <w:bCs/>
          <w:kern w:val="2"/>
          <w:sz w:val="24"/>
          <w:szCs w:val="24"/>
          <w:lang w:val="en-US" w:eastAsia="zh-CN" w:bidi="ar-SA"/>
          <w14:ligatures w14:val="standardContextual"/>
        </w:rPr>
      </w:pPr>
    </w:p>
    <w:p w14:paraId="4AC98814">
      <w:pPr>
        <w:pStyle w:val="41"/>
        <w:numPr>
          <w:ilvl w:val="0"/>
          <w:numId w:val="2"/>
        </w:numPr>
        <w:spacing w:line="360" w:lineRule="auto"/>
        <w:ind w:left="0" w:leftChars="0" w:firstLine="420" w:firstLineChars="0"/>
        <w:jc w:val="left"/>
        <w:outlineLvl w:val="0"/>
        <w:rPr>
          <w:rFonts w:hint="eastAsia" w:ascii="Times New Roman" w:hAnsi="Times New Roman" w:eastAsia="宋体" w:cs="Times New Roman"/>
          <w:b/>
          <w:bCs/>
          <w:kern w:val="44"/>
          <w:sz w:val="28"/>
          <w:szCs w:val="44"/>
        </w:rPr>
      </w:pPr>
      <w:bookmarkStart w:id="25" w:name="_Toc6842"/>
      <w:bookmarkStart w:id="26" w:name="_Toc203050992"/>
      <w:bookmarkStart w:id="27" w:name="_Toc203050425"/>
      <w:bookmarkStart w:id="28" w:name="_Toc213659366"/>
      <w:r>
        <w:rPr>
          <w:rFonts w:hint="eastAsia" w:ascii="Times New Roman" w:hAnsi="Times New Roman" w:eastAsia="宋体" w:cs="Times New Roman"/>
          <w:b/>
          <w:bCs/>
          <w:kern w:val="44"/>
          <w:sz w:val="28"/>
          <w:szCs w:val="44"/>
        </w:rPr>
        <w:t>与国际、国外同类标准对比情况</w:t>
      </w:r>
      <w:bookmarkEnd w:id="25"/>
    </w:p>
    <w:p w14:paraId="50BF458A">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国外田菁研究主要集中于热带、亚热带地区的绿肥利用和水稻轮作体系，未见针对中重度盐碱地田菁高产栽培技术的系统性标准或技术规程。本标准首次系统构建了中重度盐碱地田菁高产栽培技术体系，与现有标准在技术内容上不存在重复或高度相似性，是对田菁盐碱地栽培技术标准体系的重要补充，可满足盐碱地综合利用和饲草产业发展的现实需要。</w:t>
      </w:r>
    </w:p>
    <w:p w14:paraId="7DA3CA10">
      <w:pPr>
        <w:pStyle w:val="41"/>
        <w:numPr>
          <w:ilvl w:val="0"/>
          <w:numId w:val="2"/>
        </w:numPr>
        <w:spacing w:line="360" w:lineRule="auto"/>
        <w:ind w:left="0" w:leftChars="0" w:firstLine="420" w:firstLineChars="0"/>
        <w:jc w:val="left"/>
        <w:outlineLvl w:val="0"/>
        <w:rPr>
          <w:rFonts w:hint="eastAsia" w:ascii="Times New Roman" w:hAnsi="Times New Roman" w:eastAsia="宋体" w:cs="Times New Roman"/>
          <w:b/>
          <w:bCs/>
          <w:kern w:val="44"/>
          <w:sz w:val="28"/>
          <w:szCs w:val="44"/>
        </w:rPr>
      </w:pPr>
      <w:bookmarkStart w:id="29" w:name="_Toc6525"/>
      <w:r>
        <w:rPr>
          <w:rFonts w:hint="eastAsia" w:ascii="Times New Roman" w:hAnsi="Times New Roman" w:eastAsia="宋体" w:cs="Times New Roman"/>
          <w:b/>
          <w:bCs/>
          <w:kern w:val="44"/>
          <w:sz w:val="28"/>
          <w:szCs w:val="44"/>
        </w:rPr>
        <w:t>以国际标准为基础的起草情况</w:t>
      </w:r>
      <w:bookmarkEnd w:id="29"/>
    </w:p>
    <w:p w14:paraId="77CA70C5">
      <w:pPr>
        <w:pStyle w:val="41"/>
        <w:widowControl w:val="0"/>
        <w:numPr>
          <w:numId w:val="0"/>
        </w:numPr>
        <w:spacing w:line="360" w:lineRule="auto"/>
        <w:ind w:left="0" w:leftChars="0" w:firstLine="480" w:firstLineChars="200"/>
        <w:contextualSpacing/>
        <w:jc w:val="left"/>
        <w:outlineLvl w:val="9"/>
        <w:rPr>
          <w:rFonts w:hint="eastAsia" w:ascii="Times New Roman" w:hAnsi="Times New Roman" w:eastAsia="宋体" w:cs="Times New Roman"/>
          <w:b/>
          <w:bCs/>
          <w:kern w:val="44"/>
          <w:sz w:val="28"/>
          <w:szCs w:val="44"/>
        </w:rPr>
      </w:pPr>
      <w:bookmarkStart w:id="30" w:name="_Toc3252"/>
      <w:r>
        <w:rPr>
          <w:rFonts w:ascii="Segoe UI Emoji" w:hAnsi="Segoe UI Emoji" w:eastAsia="Segoe UI Emoji" w:cs="Segoe UI Emoji"/>
          <w:i w:val="0"/>
          <w:iCs w:val="0"/>
          <w:caps w:val="0"/>
          <w:color w:val="000000"/>
          <w:spacing w:val="0"/>
          <w:sz w:val="24"/>
          <w:szCs w:val="24"/>
        </w:rPr>
        <w:t>本标准未直接采用国际标准或国外先进标准。国外田菁研究主要集中于热带、亚热带地区的绿肥利用和水稻轮作体系，未见针对中重度盐碱地田菁高产栽培技术的系统性标准或技术规程</w:t>
      </w:r>
      <w:r>
        <w:rPr>
          <w:rFonts w:hint="eastAsia" w:ascii="Segoe UI Emoji" w:hAnsi="Segoe UI Emoji" w:eastAsia="宋体" w:cs="Segoe UI Emoji"/>
          <w:i w:val="0"/>
          <w:iCs w:val="0"/>
          <w:caps w:val="0"/>
          <w:color w:val="000000"/>
          <w:spacing w:val="0"/>
          <w:sz w:val="24"/>
          <w:szCs w:val="24"/>
          <w:lang w:eastAsia="zh-CN"/>
        </w:rPr>
        <w:t>。</w:t>
      </w:r>
      <w:r>
        <w:rPr>
          <w:rFonts w:ascii="Segoe UI Emoji" w:hAnsi="Segoe UI Emoji" w:eastAsia="Segoe UI Emoji" w:cs="Segoe UI Emoji"/>
          <w:i w:val="0"/>
          <w:iCs w:val="0"/>
          <w:caps w:val="0"/>
          <w:color w:val="000000"/>
          <w:spacing w:val="0"/>
          <w:sz w:val="24"/>
          <w:szCs w:val="24"/>
        </w:rPr>
        <w:t>不具备直接采用或引用国际、国外标准的基础，依据盐碱地生产实际和试验数据自行制定本标准。</w:t>
      </w:r>
      <w:bookmarkEnd w:id="30"/>
    </w:p>
    <w:p w14:paraId="4314FF23">
      <w:pPr>
        <w:pStyle w:val="41"/>
        <w:numPr>
          <w:ilvl w:val="0"/>
          <w:numId w:val="2"/>
        </w:numPr>
        <w:spacing w:line="360" w:lineRule="auto"/>
        <w:ind w:left="0" w:leftChars="0" w:firstLine="420" w:firstLineChars="0"/>
        <w:jc w:val="left"/>
        <w:outlineLvl w:val="0"/>
        <w:rPr>
          <w:rFonts w:hint="eastAsia" w:ascii="Times New Roman" w:hAnsi="Times New Roman" w:eastAsia="宋体" w:cs="Times New Roman"/>
          <w:b/>
          <w:bCs/>
          <w:kern w:val="44"/>
          <w:sz w:val="28"/>
          <w:szCs w:val="44"/>
        </w:rPr>
      </w:pPr>
      <w:bookmarkStart w:id="31" w:name="_Toc8965"/>
      <w:r>
        <w:rPr>
          <w:rFonts w:hint="eastAsia" w:ascii="Times New Roman" w:hAnsi="Times New Roman" w:eastAsia="宋体" w:cs="Times New Roman"/>
          <w:b/>
          <w:bCs/>
          <w:kern w:val="44"/>
          <w:sz w:val="28"/>
          <w:szCs w:val="44"/>
        </w:rPr>
        <w:t>标准重大分歧意见的处理经过和依据</w:t>
      </w:r>
      <w:bookmarkEnd w:id="31"/>
    </w:p>
    <w:bookmarkEnd w:id="26"/>
    <w:bookmarkEnd w:id="27"/>
    <w:bookmarkEnd w:id="28"/>
    <w:p w14:paraId="10866066">
      <w:pPr>
        <w:spacing w:line="360" w:lineRule="auto"/>
        <w:ind w:firstLine="480" w:firstLineChars="200"/>
        <w:jc w:val="left"/>
        <w:rPr>
          <w:rFonts w:hint="eastAsia" w:ascii="Times New Roman" w:hAnsi="Times New Roman" w:eastAsia="Arial" w:cs="Arial"/>
          <w:snapToGrid w:val="0"/>
          <w:color w:val="000000"/>
          <w:kern w:val="0"/>
          <w:sz w:val="24"/>
          <w:szCs w:val="24"/>
          <w:lang w:val="en-US" w:eastAsia="zh-CN"/>
          <w14:ligatures w14:val="none"/>
        </w:rPr>
      </w:pPr>
      <w:bookmarkStart w:id="32" w:name="_Toc10468"/>
      <w:bookmarkStart w:id="33" w:name="_Toc213659367"/>
      <w:r>
        <w:rPr>
          <w:rFonts w:hint="eastAsia" w:ascii="Times New Roman" w:hAnsi="Times New Roman" w:eastAsia="Arial" w:cs="Arial"/>
          <w:snapToGrid w:val="0"/>
          <w:color w:val="000000"/>
          <w:kern w:val="0"/>
          <w:sz w:val="24"/>
          <w:szCs w:val="24"/>
          <w:lang w:val="en-US" w:eastAsia="zh-CN"/>
          <w14:ligatures w14:val="none"/>
        </w:rPr>
        <w:t>本标准初稿完成后，征求了国内相关研究机构的多位专家的意见和建议，已根据建议修改，得到了专家的一致认可，无任何重大意见分歧。</w:t>
      </w:r>
      <w:bookmarkEnd w:id="32"/>
      <w:bookmarkEnd w:id="33"/>
    </w:p>
    <w:p w14:paraId="0ED3FA8A">
      <w:pPr>
        <w:pStyle w:val="41"/>
        <w:numPr>
          <w:ilvl w:val="0"/>
          <w:numId w:val="2"/>
        </w:numPr>
        <w:spacing w:line="360" w:lineRule="auto"/>
        <w:ind w:left="0" w:leftChars="0" w:firstLine="420" w:firstLineChars="0"/>
        <w:jc w:val="left"/>
        <w:outlineLvl w:val="0"/>
        <w:rPr>
          <w:rFonts w:hint="eastAsia" w:ascii="Times New Roman" w:hAnsi="Times New Roman" w:eastAsia="宋体" w:cs="Times New Roman"/>
          <w:b/>
          <w:bCs/>
          <w:kern w:val="44"/>
          <w:sz w:val="28"/>
          <w:szCs w:val="44"/>
          <w:lang w:val="en-US" w:eastAsia="zh-CN"/>
        </w:rPr>
      </w:pPr>
      <w:bookmarkStart w:id="34" w:name="_Toc26980"/>
      <w:r>
        <w:rPr>
          <w:rFonts w:hint="eastAsia" w:ascii="Times New Roman" w:hAnsi="Times New Roman" w:eastAsia="宋体" w:cs="Times New Roman"/>
          <w:b/>
          <w:bCs/>
          <w:kern w:val="44"/>
          <w:sz w:val="28"/>
          <w:szCs w:val="44"/>
          <w:lang w:val="en-US" w:eastAsia="zh-CN"/>
        </w:rPr>
        <w:t>与有关法律、行政法规及相关标准的关系</w:t>
      </w:r>
      <w:bookmarkEnd w:id="34"/>
    </w:p>
    <w:p w14:paraId="29E6E395">
      <w:pPr>
        <w:spacing w:line="360" w:lineRule="auto"/>
        <w:ind w:firstLine="480" w:firstLineChars="200"/>
        <w:jc w:val="left"/>
        <w:rPr>
          <w:rFonts w:ascii="Times New Roman" w:hAnsi="Times New Roman" w:eastAsia="仿宋_GB2312" w:cs="Times New Roman"/>
          <w:sz w:val="32"/>
          <w:szCs w:val="32"/>
        </w:rPr>
      </w:pPr>
      <w:r>
        <w:rPr>
          <w:rFonts w:hint="eastAsia" w:ascii="Times New Roman" w:hAnsi="Times New Roman" w:eastAsia="Arial" w:cs="Arial"/>
          <w:snapToGrid w:val="0"/>
          <w:color w:val="000000"/>
          <w:kern w:val="0"/>
          <w:sz w:val="24"/>
          <w:szCs w:val="24"/>
          <w:lang w:val="en-US" w:eastAsia="zh-CN"/>
          <w14:ligatures w14:val="none"/>
        </w:rPr>
        <w:t>本标准的编制以GB/T 1.1《标准化工作导则》为依据，以科学性、实用性和可操作性为基本原则。本规程制定过程中参考GB/T 2930.8-2017 《草种子检验规程 水分测定》、GB 3095《环境空气质量标准》、GB 5084《农田灌溉水质标准》、GB 6141-2008《豆科草种子质量分级》、GB 8321（所有部分）《农药合理使用准则 》、GB/T 19812.5-2019《塑料节水灌溉器材 第5部分：地埋式滴灌管》、NY/T 1868《 肥料合理使用准则 有机肥料 》、NY/T 496  《肥料合理使用准则 通则》、NY/T 1997《除草剂安全使用技术规范通则》等标准中规定的播种、肥料农药、病虫害防控、生产等技术要求，确保规程内容的溯源性、准确性、可靠性、科学性等相关标准进行编写。</w:t>
      </w:r>
    </w:p>
    <w:p w14:paraId="231A2189">
      <w:pPr>
        <w:pStyle w:val="41"/>
        <w:numPr>
          <w:ilvl w:val="0"/>
          <w:numId w:val="2"/>
        </w:numPr>
        <w:spacing w:line="360" w:lineRule="auto"/>
        <w:ind w:left="0" w:leftChars="0" w:firstLine="420" w:firstLineChars="0"/>
        <w:jc w:val="left"/>
        <w:outlineLvl w:val="0"/>
        <w:rPr>
          <w:rFonts w:hint="default" w:ascii="Arial" w:hAnsi="Arial" w:eastAsia="宋体" w:cs="Arial"/>
          <w:b/>
          <w:bCs/>
          <w:kern w:val="44"/>
          <w:sz w:val="28"/>
          <w:szCs w:val="44"/>
          <w:lang w:val="en-US" w:eastAsia="zh-CN"/>
        </w:rPr>
      </w:pPr>
      <w:bookmarkStart w:id="35" w:name="_Toc20493"/>
      <w:r>
        <w:rPr>
          <w:rFonts w:hint="default" w:ascii="Arial" w:hAnsi="Arial" w:eastAsia="宋体" w:cs="Arial"/>
          <w:b/>
          <w:bCs/>
          <w:kern w:val="44"/>
          <w:sz w:val="28"/>
          <w:szCs w:val="44"/>
          <w:lang w:val="en-US" w:eastAsia="zh-CN"/>
        </w:rPr>
        <w:t>涉及专利的有关说明</w:t>
      </w:r>
      <w:bookmarkEnd w:id="35"/>
      <w:r>
        <w:rPr>
          <w:rFonts w:hint="default" w:ascii="Arial" w:hAnsi="Arial" w:eastAsia="宋体" w:cs="Arial"/>
          <w:b/>
          <w:bCs/>
          <w:kern w:val="44"/>
          <w:sz w:val="28"/>
          <w:szCs w:val="44"/>
          <w:lang w:val="en-US" w:eastAsia="zh-CN"/>
        </w:rPr>
        <w:t xml:space="preserve"> </w:t>
      </w:r>
    </w:p>
    <w:p w14:paraId="3AB54CF6">
      <w:pPr>
        <w:spacing w:line="360" w:lineRule="auto"/>
        <w:jc w:val="left"/>
        <w:rPr>
          <w:rFonts w:hint="eastAsia" w:ascii="Times New Roman" w:hAnsi="Times New Roman" w:eastAsia="Arial" w:cs="Arial"/>
          <w:snapToGrid w:val="0"/>
          <w:color w:val="000000"/>
          <w:kern w:val="0"/>
          <w:sz w:val="24"/>
          <w:szCs w:val="24"/>
          <w:lang w:val="en-US" w:eastAsia="zh-CN"/>
          <w14:ligatures w14:val="none"/>
        </w:rPr>
      </w:pPr>
      <w:r>
        <w:rPr>
          <w:rFonts w:hint="eastAsia" w:ascii="Times New Roman" w:hAnsi="Times New Roman" w:eastAsia="Arial" w:cs="Arial"/>
          <w:snapToGrid w:val="0"/>
          <w:color w:val="000000"/>
          <w:kern w:val="0"/>
          <w:sz w:val="24"/>
          <w:szCs w:val="24"/>
          <w:lang w:val="en-US" w:eastAsia="zh-CN"/>
          <w14:ligatures w14:val="none"/>
        </w:rPr>
        <w:t>无。</w:t>
      </w:r>
    </w:p>
    <w:p w14:paraId="2E377D23">
      <w:pPr>
        <w:pStyle w:val="41"/>
        <w:numPr>
          <w:ilvl w:val="0"/>
          <w:numId w:val="2"/>
        </w:numPr>
        <w:spacing w:line="360" w:lineRule="auto"/>
        <w:ind w:left="0" w:leftChars="0" w:firstLine="420" w:firstLineChars="0"/>
        <w:jc w:val="left"/>
        <w:outlineLvl w:val="0"/>
        <w:rPr>
          <w:rFonts w:hint="default" w:ascii="Arial" w:hAnsi="Arial" w:eastAsia="宋体" w:cs="Arial"/>
          <w:b/>
          <w:bCs/>
          <w:kern w:val="44"/>
          <w:sz w:val="28"/>
          <w:szCs w:val="44"/>
          <w:lang w:val="en-US" w:eastAsia="zh-CN"/>
        </w:rPr>
      </w:pPr>
      <w:bookmarkStart w:id="36" w:name="_Toc1715"/>
      <w:r>
        <w:rPr>
          <w:rFonts w:hint="default" w:ascii="Arial" w:hAnsi="Arial" w:eastAsia="宋体" w:cs="Arial"/>
          <w:b/>
          <w:bCs/>
          <w:kern w:val="44"/>
          <w:sz w:val="28"/>
          <w:szCs w:val="44"/>
          <w:lang w:val="en-US" w:eastAsia="zh-CN"/>
        </w:rPr>
        <w:t>实施团体标准的要求及措施建议</w:t>
      </w:r>
      <w:bookmarkEnd w:id="36"/>
    </w:p>
    <w:p w14:paraId="631FDE92">
      <w:pPr>
        <w:pStyle w:val="41"/>
        <w:numPr>
          <w:ilvl w:val="0"/>
          <w:numId w:val="0"/>
        </w:numPr>
        <w:spacing w:line="360" w:lineRule="auto"/>
        <w:ind w:left="0" w:leftChars="0" w:firstLine="480" w:firstLineChars="200"/>
        <w:jc w:val="left"/>
        <w:outlineLvl w:val="9"/>
        <w:rPr>
          <w:rFonts w:hint="eastAsia" w:ascii="Times New Roman" w:hAnsi="Times New Roman" w:eastAsia="仿宋_GB2312" w:cs="Times New Roman"/>
          <w:kern w:val="2"/>
          <w:sz w:val="28"/>
          <w:szCs w:val="28"/>
          <w:lang w:val="en-US" w:eastAsia="zh-CN" w:bidi="ar-SA"/>
          <w14:ligatures w14:val="standardContextual"/>
        </w:rPr>
      </w:pPr>
      <w:bookmarkStart w:id="37" w:name="_Toc1759"/>
      <w:bookmarkStart w:id="38" w:name="_Toc11607"/>
      <w:r>
        <w:rPr>
          <w:rFonts w:hint="eastAsia" w:ascii="Times New Roman" w:hAnsi="Times New Roman" w:eastAsia="Arial" w:cs="Arial"/>
          <w:snapToGrid w:val="0"/>
          <w:color w:val="000000"/>
          <w:kern w:val="0"/>
          <w:sz w:val="24"/>
          <w:szCs w:val="24"/>
          <w:lang w:val="en-US" w:eastAsia="zh-CN" w:bidi="ar-SA"/>
          <w14:ligatures w14:val="none"/>
        </w:rPr>
        <w:t>依托通辽市农牧业科学院和中国科学</w:t>
      </w:r>
      <w:bookmarkEnd w:id="37"/>
      <w:bookmarkStart w:id="39" w:name="_Toc2910"/>
      <w:r>
        <w:rPr>
          <w:rFonts w:hint="eastAsia" w:ascii="Times New Roman" w:hAnsi="Times New Roman" w:eastAsia="Arial" w:cs="Arial"/>
          <w:snapToGrid w:val="0"/>
          <w:color w:val="000000"/>
          <w:kern w:val="0"/>
          <w:sz w:val="24"/>
          <w:szCs w:val="24"/>
          <w:lang w:val="en-US" w:eastAsia="zh-CN" w:bidi="ar-SA"/>
          <w14:ligatures w14:val="none"/>
        </w:rPr>
        <w:t>院遗传与发育生物学研究所的技术力量，组织农技推广人员、种植大户、农民专业合作社和饲草生产企业开展标准宣贯和技术培训，使相关人员熟练掌握标准规定的栽培技术要领，推动按标准组织生产。</w:t>
      </w:r>
      <w:bookmarkEnd w:id="39"/>
      <w:bookmarkStart w:id="40" w:name="_Toc4568"/>
      <w:r>
        <w:rPr>
          <w:rFonts w:hint="eastAsia" w:ascii="Times New Roman" w:hAnsi="Times New Roman" w:eastAsia="Arial" w:cs="Arial"/>
          <w:snapToGrid w:val="0"/>
          <w:color w:val="000000"/>
          <w:kern w:val="0"/>
          <w:sz w:val="24"/>
          <w:szCs w:val="24"/>
          <w:lang w:val="en-US" w:eastAsia="zh-CN" w:bidi="ar-SA"/>
          <w14:ligatures w14:val="none"/>
        </w:rPr>
        <w:t>结合高标准农田</w:t>
      </w:r>
      <w:bookmarkEnd w:id="40"/>
      <w:bookmarkStart w:id="41" w:name="_Toc22841"/>
      <w:r>
        <w:rPr>
          <w:rFonts w:hint="eastAsia" w:ascii="Times New Roman" w:hAnsi="Times New Roman" w:eastAsia="Arial" w:cs="Arial"/>
          <w:snapToGrid w:val="0"/>
          <w:color w:val="000000"/>
          <w:kern w:val="0"/>
          <w:sz w:val="24"/>
          <w:szCs w:val="24"/>
          <w:lang w:val="en-US" w:eastAsia="zh-CN" w:bidi="ar-SA"/>
          <w14:ligatures w14:val="none"/>
        </w:rPr>
        <w:t>建设和“粮改饲”等政策项目实施，在中重度盐碱地集中连片建设标准应用示范区，以点带面推动标准落地见效，形成可复制、可推广的盐碱地田菁节水种植模式。</w:t>
      </w:r>
      <w:bookmarkEnd w:id="41"/>
      <w:bookmarkStart w:id="42" w:name="_Toc6699"/>
      <w:r>
        <w:rPr>
          <w:rFonts w:hint="eastAsia" w:ascii="Times New Roman" w:hAnsi="Times New Roman" w:eastAsia="Arial" w:cs="Arial"/>
          <w:snapToGrid w:val="0"/>
          <w:color w:val="000000"/>
          <w:kern w:val="0"/>
          <w:sz w:val="24"/>
          <w:szCs w:val="24"/>
          <w:lang w:val="en-US" w:eastAsia="zh-CN" w:bidi="ar-SA"/>
          <w14:ligatures w14:val="none"/>
        </w:rPr>
        <w:t>对标准实施情况进行跟踪评估，</w:t>
      </w:r>
      <w:bookmarkEnd w:id="42"/>
      <w:bookmarkStart w:id="43" w:name="_Toc26101"/>
      <w:r>
        <w:rPr>
          <w:rFonts w:hint="eastAsia" w:ascii="Times New Roman" w:hAnsi="Times New Roman" w:eastAsia="Arial" w:cs="Arial"/>
          <w:snapToGrid w:val="0"/>
          <w:color w:val="000000"/>
          <w:kern w:val="0"/>
          <w:sz w:val="24"/>
          <w:szCs w:val="24"/>
          <w:lang w:val="en-US" w:eastAsia="zh-CN" w:bidi="ar-SA"/>
          <w14:ligatures w14:val="none"/>
        </w:rPr>
        <w:t>及时收集实施过程中的问题和各方反馈意见，为标准复审和修订提供依据，确保标准的适用性和先进性。</w:t>
      </w:r>
      <w:bookmarkEnd w:id="43"/>
      <w:bookmarkStart w:id="44" w:name="_Toc25475"/>
      <w:r>
        <w:rPr>
          <w:rFonts w:hint="eastAsia" w:ascii="Times New Roman" w:hAnsi="Times New Roman" w:eastAsia="Arial" w:cs="Arial"/>
          <w:snapToGrid w:val="0"/>
          <w:color w:val="000000"/>
          <w:kern w:val="0"/>
          <w:sz w:val="24"/>
          <w:szCs w:val="24"/>
          <w:lang w:val="en-US" w:eastAsia="zh-CN" w:bidi="ar-SA"/>
          <w14:ligatures w14:val="none"/>
        </w:rPr>
        <w:t>持续开展田菁耐盐碱品种选育、水肥</w:t>
      </w:r>
      <w:bookmarkEnd w:id="44"/>
      <w:bookmarkStart w:id="45" w:name="_Toc25410"/>
      <w:r>
        <w:rPr>
          <w:rFonts w:hint="eastAsia" w:ascii="Times New Roman" w:hAnsi="Times New Roman" w:eastAsia="Arial" w:cs="Arial"/>
          <w:snapToGrid w:val="0"/>
          <w:color w:val="000000"/>
          <w:kern w:val="0"/>
          <w:sz w:val="24"/>
          <w:szCs w:val="24"/>
          <w:lang w:val="en-US" w:eastAsia="zh-CN" w:bidi="ar-SA"/>
          <w14:ligatures w14:val="none"/>
        </w:rPr>
        <w:t>精准管理、机械化作业等关键技术研究，推动标准不断优化升级，助力盐碱地综合利用和饲草产业高质量发展。</w:t>
      </w:r>
      <w:bookmarkEnd w:id="38"/>
      <w:bookmarkEnd w:id="45"/>
    </w:p>
    <w:p w14:paraId="1EC94A0F">
      <w:pPr>
        <w:pStyle w:val="41"/>
        <w:numPr>
          <w:ilvl w:val="0"/>
          <w:numId w:val="2"/>
        </w:numPr>
        <w:spacing w:line="360" w:lineRule="auto"/>
        <w:ind w:left="0" w:leftChars="0" w:firstLine="420" w:firstLineChars="0"/>
        <w:jc w:val="left"/>
        <w:outlineLvl w:val="0"/>
        <w:rPr>
          <w:rFonts w:hint="default" w:ascii="Arial" w:hAnsi="Arial" w:eastAsia="宋体" w:cs="Arial"/>
          <w:b/>
          <w:bCs/>
          <w:kern w:val="44"/>
          <w:sz w:val="28"/>
          <w:szCs w:val="44"/>
          <w:lang w:val="en-US" w:eastAsia="zh-CN"/>
        </w:rPr>
      </w:pPr>
      <w:bookmarkStart w:id="46" w:name="_Toc203050995"/>
      <w:bookmarkStart w:id="47" w:name="_Toc203050428"/>
      <w:bookmarkStart w:id="48" w:name="_Toc213659369"/>
      <w:bookmarkStart w:id="49" w:name="_Toc6928"/>
      <w:r>
        <w:rPr>
          <w:rFonts w:hint="default" w:ascii="Arial" w:hAnsi="Arial" w:eastAsia="宋体" w:cs="Arial"/>
          <w:b/>
          <w:bCs/>
          <w:kern w:val="44"/>
          <w:sz w:val="28"/>
          <w:szCs w:val="44"/>
          <w:lang w:val="en-US" w:eastAsia="zh-CN"/>
        </w:rPr>
        <w:t>其他</w:t>
      </w:r>
      <w:bookmarkEnd w:id="46"/>
      <w:bookmarkEnd w:id="47"/>
      <w:bookmarkEnd w:id="48"/>
      <w:r>
        <w:rPr>
          <w:rFonts w:hint="default" w:ascii="Arial" w:hAnsi="Arial" w:eastAsia="宋体" w:cs="Arial"/>
          <w:b/>
          <w:bCs/>
          <w:kern w:val="44"/>
          <w:sz w:val="28"/>
          <w:szCs w:val="44"/>
          <w:lang w:val="en-US" w:eastAsia="zh-CN"/>
        </w:rPr>
        <w:t>应予说明的事项</w:t>
      </w:r>
      <w:bookmarkEnd w:id="49"/>
    </w:p>
    <w:p w14:paraId="12560B4B">
      <w:pPr>
        <w:numPr>
          <w:ilvl w:val="0"/>
          <w:numId w:val="0"/>
        </w:numPr>
        <w:spacing w:line="360" w:lineRule="auto"/>
        <w:ind w:firstLine="480" w:firstLineChars="200"/>
        <w:rPr>
          <w:rFonts w:hint="eastAsia" w:ascii="Times New Roman" w:hAnsi="Times New Roman" w:eastAsia="仿宋_GB2312" w:cs="Times New Roman"/>
          <w:sz w:val="28"/>
          <w:szCs w:val="28"/>
        </w:rPr>
      </w:pPr>
      <w:r>
        <w:rPr>
          <w:rFonts w:hint="eastAsia" w:ascii="Times New Roman" w:hAnsi="Times New Roman" w:eastAsia="Arial" w:cs="Arial"/>
          <w:snapToGrid w:val="0"/>
          <w:color w:val="000000"/>
          <w:kern w:val="0"/>
          <w:sz w:val="24"/>
          <w:szCs w:val="24"/>
          <w:lang w:val="en-US" w:eastAsia="zh-CN" w:bidi="ar-SA"/>
          <w14:ligatures w14:val="none"/>
        </w:rPr>
        <w:t>无其他事项进行说明。</w:t>
      </w:r>
      <w:r>
        <w:rPr>
          <w:rFonts w:hint="eastAsia" w:ascii="Times New Roman" w:hAnsi="Times New Roman" w:eastAsia="仿宋_GB2312" w:cs="Times New Roman"/>
          <w:sz w:val="28"/>
          <w:szCs w:val="28"/>
        </w:rPr>
        <w:t xml:space="preserve">  </w:t>
      </w:r>
    </w:p>
    <w:p w14:paraId="796F6B97">
      <w:pPr>
        <w:numPr>
          <w:ilvl w:val="0"/>
          <w:numId w:val="0"/>
        </w:numPr>
        <w:spacing w:line="360" w:lineRule="auto"/>
        <w:ind w:firstLine="560" w:firstLineChars="200"/>
        <w:rPr>
          <w:rFonts w:hint="eastAsia" w:ascii="Times New Roman" w:hAnsi="Times New Roman" w:eastAsia="仿宋_GB2312" w:cs="Times New Roman"/>
          <w:sz w:val="28"/>
          <w:szCs w:val="28"/>
        </w:rPr>
      </w:pPr>
    </w:p>
    <w:p w14:paraId="3E67BA7B">
      <w:pPr>
        <w:numPr>
          <w:ilvl w:val="0"/>
          <w:numId w:val="0"/>
        </w:numPr>
        <w:spacing w:line="360" w:lineRule="auto"/>
        <w:ind w:firstLine="560" w:firstLineChars="200"/>
        <w:rPr>
          <w:rFonts w:hint="eastAsia" w:ascii="Times New Roman" w:hAnsi="Times New Roman" w:eastAsia="仿宋_GB2312" w:cs="Times New Roman"/>
          <w:sz w:val="28"/>
          <w:szCs w:val="28"/>
        </w:rPr>
      </w:pPr>
    </w:p>
    <w:p w14:paraId="26759193">
      <w:pPr>
        <w:numPr>
          <w:ilvl w:val="0"/>
          <w:numId w:val="0"/>
        </w:numPr>
        <w:spacing w:line="360" w:lineRule="auto"/>
        <w:ind w:firstLine="560" w:firstLineChars="200"/>
        <w:rPr>
          <w:rFonts w:hint="eastAsia" w:ascii="Times New Roman" w:hAnsi="Times New Roman" w:eastAsia="仿宋_GB2312" w:cs="Times New Roman"/>
          <w:sz w:val="28"/>
          <w:szCs w:val="28"/>
        </w:rPr>
      </w:pPr>
    </w:p>
    <w:p w14:paraId="2C522632">
      <w:pPr>
        <w:widowControl/>
        <w:kinsoku w:val="0"/>
        <w:autoSpaceDE w:val="0"/>
        <w:autoSpaceDN w:val="0"/>
        <w:adjustRightInd w:val="0"/>
        <w:snapToGrid w:val="0"/>
        <w:spacing w:line="240" w:lineRule="auto"/>
        <w:jc w:val="right"/>
        <w:textAlignment w:val="baseline"/>
        <w:rPr>
          <w:rFonts w:hint="eastAsia" w:ascii="Arial" w:hAnsi="Arial" w:eastAsia="Arial" w:cs="Arial"/>
          <w:snapToGrid w:val="0"/>
          <w:color w:val="000000"/>
          <w:kern w:val="0"/>
          <w:sz w:val="21"/>
          <w:szCs w:val="21"/>
          <w:lang w:eastAsia="en-US"/>
          <w14:ligatures w14:val="none"/>
        </w:rPr>
      </w:pPr>
      <w:r>
        <w:rPr>
          <w:rFonts w:hint="eastAsia" w:ascii="Arial" w:hAnsi="Arial" w:eastAsia="Arial" w:cs="Arial"/>
          <w:snapToGrid w:val="0"/>
          <w:color w:val="000000"/>
          <w:kern w:val="0"/>
          <w:sz w:val="21"/>
          <w:szCs w:val="21"/>
          <w:lang w:eastAsia="en-US"/>
          <w14:ligatures w14:val="none"/>
        </w:rPr>
        <w:t>《中重度盐碱地田菁高产栽培技术规范》团体标准起草工作组</w:t>
      </w:r>
    </w:p>
    <w:p w14:paraId="7DA2447C">
      <w:pPr>
        <w:numPr>
          <w:ilvl w:val="0"/>
          <w:numId w:val="0"/>
        </w:numPr>
        <w:spacing w:line="360" w:lineRule="auto"/>
        <w:ind w:firstLine="420" w:firstLineChars="200"/>
        <w:jc w:val="right"/>
        <w:rPr>
          <w:rFonts w:hint="eastAsia" w:ascii="Times New Roman" w:hAnsi="Times New Roman" w:eastAsia="仿宋_GB2312" w:cs="Times New Roman"/>
          <w:sz w:val="21"/>
          <w:szCs w:val="21"/>
        </w:rPr>
      </w:pPr>
      <w:r>
        <w:rPr>
          <w:rFonts w:hint="eastAsia" w:ascii="Arial" w:hAnsi="Arial" w:eastAsia="Arial" w:cs="Arial"/>
          <w:snapToGrid w:val="0"/>
          <w:color w:val="000000"/>
          <w:kern w:val="0"/>
          <w:sz w:val="21"/>
          <w:szCs w:val="21"/>
          <w:lang w:eastAsia="en-US"/>
          <w14:ligatures w14:val="none"/>
        </w:rPr>
        <w:t>202</w:t>
      </w:r>
      <w:r>
        <w:rPr>
          <w:rFonts w:hint="eastAsia" w:ascii="Arial" w:hAnsi="Arial" w:eastAsia="Arial" w:cs="Arial"/>
          <w:snapToGrid w:val="0"/>
          <w:color w:val="000000"/>
          <w:kern w:val="0"/>
          <w:sz w:val="21"/>
          <w:szCs w:val="21"/>
          <w:lang w:val="en-US" w:eastAsia="zh-CN"/>
          <w14:ligatures w14:val="none"/>
        </w:rPr>
        <w:t>6</w:t>
      </w:r>
      <w:r>
        <w:rPr>
          <w:rFonts w:hint="eastAsia" w:ascii="Arial" w:hAnsi="Arial" w:eastAsia="Arial" w:cs="Arial"/>
          <w:snapToGrid w:val="0"/>
          <w:color w:val="000000"/>
          <w:kern w:val="0"/>
          <w:sz w:val="21"/>
          <w:szCs w:val="21"/>
          <w:lang w:eastAsia="en-US"/>
          <w14:ligatures w14:val="none"/>
        </w:rPr>
        <w:t xml:space="preserve"> 年</w:t>
      </w:r>
      <w:r>
        <w:rPr>
          <w:rFonts w:hint="eastAsia" w:ascii="Arial" w:hAnsi="Arial" w:eastAsia="宋体" w:cs="Arial"/>
          <w:snapToGrid w:val="0"/>
          <w:color w:val="000000"/>
          <w:kern w:val="0"/>
          <w:sz w:val="21"/>
          <w:szCs w:val="21"/>
          <w:lang w:val="en-US" w:eastAsia="zh-CN"/>
          <w14:ligatures w14:val="none"/>
        </w:rPr>
        <w:t>1</w:t>
      </w:r>
      <w:r>
        <w:rPr>
          <w:rFonts w:hint="eastAsia" w:ascii="Arial" w:hAnsi="Arial" w:eastAsia="Arial" w:cs="Arial"/>
          <w:snapToGrid w:val="0"/>
          <w:color w:val="000000"/>
          <w:kern w:val="0"/>
          <w:sz w:val="21"/>
          <w:szCs w:val="21"/>
          <w:lang w:val="en-US" w:eastAsia="zh-CN"/>
          <w14:ligatures w14:val="none"/>
        </w:rPr>
        <w:t>0</w:t>
      </w:r>
      <w:r>
        <w:rPr>
          <w:rFonts w:hint="eastAsia" w:ascii="Arial" w:hAnsi="Arial" w:eastAsia="Arial" w:cs="Arial"/>
          <w:snapToGrid w:val="0"/>
          <w:color w:val="000000"/>
          <w:kern w:val="0"/>
          <w:sz w:val="21"/>
          <w:szCs w:val="21"/>
          <w:lang w:eastAsia="en-US"/>
          <w14:ligatures w14:val="none"/>
        </w:rPr>
        <w:t xml:space="preserve"> 月</w:t>
      </w:r>
      <w:r>
        <w:rPr>
          <w:rFonts w:hint="eastAsia" w:ascii="Arial" w:hAnsi="Arial" w:eastAsia="Arial" w:cs="Arial"/>
          <w:snapToGrid w:val="0"/>
          <w:color w:val="000000"/>
          <w:kern w:val="0"/>
          <w:sz w:val="21"/>
          <w:szCs w:val="21"/>
          <w:lang w:val="en-US" w:eastAsia="zh-CN"/>
          <w14:ligatures w14:val="none"/>
        </w:rPr>
        <w:t>13</w:t>
      </w:r>
      <w:r>
        <w:rPr>
          <w:rFonts w:hint="eastAsia" w:ascii="Arial" w:hAnsi="Arial" w:eastAsia="Arial" w:cs="Arial"/>
          <w:snapToGrid w:val="0"/>
          <w:color w:val="000000"/>
          <w:kern w:val="0"/>
          <w:sz w:val="21"/>
          <w:szCs w:val="21"/>
          <w:lang w:eastAsia="en-US"/>
          <w14:ligatures w14:val="none"/>
        </w:rPr>
        <w:t>日</w:t>
      </w:r>
    </w:p>
    <w:sectPr>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小标宋简体">
    <w:altName w:val="宋体-方正超大字符集"/>
    <w:panose1 w:val="02000000000000000000"/>
    <w:charset w:val="86"/>
    <w:family w:val="auto"/>
    <w:pitch w:val="default"/>
    <w:sig w:usb0="00000000" w:usb1="00000000" w:usb2="00000000" w:usb3="00000000" w:csb0="00040000" w:csb1="00000000"/>
  </w:font>
  <w:font w:name="宋体-方正超大字符集">
    <w:panose1 w:val="03000509000000000000"/>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Segoe UI Emoji">
    <w:panose1 w:val="020B0502040204020203"/>
    <w:charset w:val="00"/>
    <w:family w:val="auto"/>
    <w:pitch w:val="default"/>
    <w:sig w:usb0="00000001" w:usb1="02000000" w:usb2="08000000" w:usb3="00000000" w:csb0="00000001" w:csb1="00000000"/>
  </w:font>
  <w:font w:name="MS PGothic">
    <w:panose1 w:val="020B0600070205080204"/>
    <w:charset w:val="80"/>
    <w:family w:val="auto"/>
    <w:pitch w:val="default"/>
    <w:sig w:usb0="E00002FF" w:usb1="6AC7FDFB" w:usb2="08000012" w:usb3="00000000" w:csb0="4002009F" w:csb1="DFD70000"/>
  </w:font>
  <w:font w:name="Arial">
    <w:panose1 w:val="020B0604020202020204"/>
    <w:charset w:val="00"/>
    <w:family w:val="auto"/>
    <w:pitch w:val="default"/>
    <w:sig w:usb0="E0002EFF" w:usb1="C000785B" w:usb2="00000009" w:usb3="00000000" w:csb0="400001FF" w:csb1="FFFF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E8859BCF">
    <w:panose1 w:val="02010609060101010101"/>
    <w:charset w:val="86"/>
    <w:family w:val="auto"/>
    <w:pitch w:val="default"/>
    <w:sig w:usb0="00000001" w:usb1="00000000" w:usb2="00000000" w:usb3="00000000" w:csb0="00040001" w:csb1="00000000"/>
  </w:font>
  <w:font w:name="KSOFE8852770">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AB160">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C84ED">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5B360E">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D5B360E">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3D0ECE"/>
    <w:multiLevelType w:val="singleLevel"/>
    <w:tmpl w:val="8C3D0ECE"/>
    <w:lvl w:ilvl="0" w:tentative="0">
      <w:start w:val="1"/>
      <w:numFmt w:val="chineseCounting"/>
      <w:suff w:val="nothing"/>
      <w:lvlText w:val="%1、"/>
      <w:lvlJc w:val="left"/>
      <w:pPr>
        <w:ind w:left="0" w:firstLine="420"/>
      </w:pPr>
      <w:rPr>
        <w:rFonts w:hint="eastAsia"/>
      </w:rPr>
    </w:lvl>
  </w:abstractNum>
  <w:abstractNum w:abstractNumId="1">
    <w:nsid w:val="175A2129"/>
    <w:multiLevelType w:val="singleLevel"/>
    <w:tmpl w:val="175A2129"/>
    <w:lvl w:ilvl="0" w:tentative="0">
      <w:start w:val="1"/>
      <w:numFmt w:val="chineseCounting"/>
      <w:suff w:val="nothing"/>
      <w:lvlText w:val="（%1）"/>
      <w:lvlJc w:val="left"/>
      <w:pPr>
        <w:ind w:left="0" w:firstLine="420"/>
      </w:pPr>
      <w:rPr>
        <w:rFonts w:hint="eastAsia"/>
      </w:rPr>
    </w:lvl>
  </w:abstractNum>
  <w:abstractNum w:abstractNumId="2">
    <w:nsid w:val="177114BB"/>
    <w:multiLevelType w:val="singleLevel"/>
    <w:tmpl w:val="177114BB"/>
    <w:lvl w:ilvl="0" w:tentative="0">
      <w:start w:val="1"/>
      <w:numFmt w:val="chineseCounting"/>
      <w:suff w:val="nothing"/>
      <w:lvlText w:val="（%1）"/>
      <w:lvlJc w:val="left"/>
      <w:rPr>
        <w:rFonts w:hint="eastAsia"/>
      </w:rPr>
    </w:lvl>
  </w:abstractNum>
  <w:abstractNum w:abstractNumId="3">
    <w:nsid w:val="2C72602E"/>
    <w:multiLevelType w:val="singleLevel"/>
    <w:tmpl w:val="2C72602E"/>
    <w:lvl w:ilvl="0" w:tentative="0">
      <w:start w:val="1"/>
      <w:numFmt w:val="decimal"/>
      <w:lvlText w:val="%1."/>
      <w:lvlJc w:val="left"/>
      <w:pPr>
        <w:ind w:left="425" w:hanging="425"/>
      </w:pPr>
      <w:rPr>
        <w:rFonts w:hint="default"/>
        <w:b/>
        <w:bCs/>
      </w:rPr>
    </w:lvl>
  </w:abstractNum>
  <w:abstractNum w:abstractNumId="4">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55"/>
      <w:suff w:val="nothing"/>
      <w:lvlText w:val="%1%2　"/>
      <w:lvlJc w:val="left"/>
      <w:pPr>
        <w:ind w:left="0" w:firstLine="0"/>
      </w:pPr>
      <w:rPr>
        <w:rFonts w:hint="eastAsia" w:ascii="黑体" w:eastAsia="黑体"/>
        <w:b w:val="0"/>
        <w:i w:val="0"/>
        <w:sz w:val="21"/>
      </w:rPr>
    </w:lvl>
    <w:lvl w:ilvl="2" w:tentative="0">
      <w:start w:val="1"/>
      <w:numFmt w:val="decimal"/>
      <w:pStyle w:val="54"/>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774600F0"/>
    <w:multiLevelType w:val="singleLevel"/>
    <w:tmpl w:val="774600F0"/>
    <w:lvl w:ilvl="0" w:tentative="0">
      <w:start w:val="1"/>
      <w:numFmt w:val="chineseCounting"/>
      <w:suff w:val="nothing"/>
      <w:lvlText w:val="（%1）"/>
      <w:lvlJc w:val="left"/>
      <w:pPr>
        <w:ind w:left="0" w:firstLine="420"/>
      </w:pPr>
      <w:rPr>
        <w:rFonts w:hint="eastAsia"/>
      </w:rPr>
    </w:lvl>
  </w:abstractNum>
  <w:num w:numId="1">
    <w:abstractNumId w:val="4"/>
  </w:num>
  <w:num w:numId="2">
    <w:abstractNumId w:val="0"/>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295"/>
    <w:rsid w:val="00010D46"/>
    <w:rsid w:val="000220E7"/>
    <w:rsid w:val="0005040E"/>
    <w:rsid w:val="000A223C"/>
    <w:rsid w:val="000C1C12"/>
    <w:rsid w:val="000C3271"/>
    <w:rsid w:val="000F0C7D"/>
    <w:rsid w:val="00101EA8"/>
    <w:rsid w:val="00102A1D"/>
    <w:rsid w:val="00104EBE"/>
    <w:rsid w:val="00124296"/>
    <w:rsid w:val="0013009A"/>
    <w:rsid w:val="00146E01"/>
    <w:rsid w:val="0015536D"/>
    <w:rsid w:val="001655CC"/>
    <w:rsid w:val="00166B31"/>
    <w:rsid w:val="001C4122"/>
    <w:rsid w:val="001F67DA"/>
    <w:rsid w:val="002102DD"/>
    <w:rsid w:val="00210A8F"/>
    <w:rsid w:val="00213CBA"/>
    <w:rsid w:val="00236AAD"/>
    <w:rsid w:val="00263781"/>
    <w:rsid w:val="0028183A"/>
    <w:rsid w:val="0029412C"/>
    <w:rsid w:val="002B261E"/>
    <w:rsid w:val="002B4B46"/>
    <w:rsid w:val="002C001D"/>
    <w:rsid w:val="002D5383"/>
    <w:rsid w:val="00306AD8"/>
    <w:rsid w:val="00311B98"/>
    <w:rsid w:val="00333C8D"/>
    <w:rsid w:val="003359A9"/>
    <w:rsid w:val="003578DF"/>
    <w:rsid w:val="003670E2"/>
    <w:rsid w:val="003A1849"/>
    <w:rsid w:val="003A6D9B"/>
    <w:rsid w:val="003D01F1"/>
    <w:rsid w:val="003D4693"/>
    <w:rsid w:val="003D6BC2"/>
    <w:rsid w:val="003F0B4E"/>
    <w:rsid w:val="003F2BC2"/>
    <w:rsid w:val="00457C30"/>
    <w:rsid w:val="00472206"/>
    <w:rsid w:val="00490D7A"/>
    <w:rsid w:val="004A0CB2"/>
    <w:rsid w:val="004D0757"/>
    <w:rsid w:val="004E3C78"/>
    <w:rsid w:val="004F531E"/>
    <w:rsid w:val="00513107"/>
    <w:rsid w:val="0051427F"/>
    <w:rsid w:val="0051491D"/>
    <w:rsid w:val="00551F19"/>
    <w:rsid w:val="0057028E"/>
    <w:rsid w:val="0058312D"/>
    <w:rsid w:val="00596177"/>
    <w:rsid w:val="0059625C"/>
    <w:rsid w:val="00597351"/>
    <w:rsid w:val="00597F90"/>
    <w:rsid w:val="005C15B6"/>
    <w:rsid w:val="005C5ED8"/>
    <w:rsid w:val="005C617D"/>
    <w:rsid w:val="00624431"/>
    <w:rsid w:val="006331F0"/>
    <w:rsid w:val="006445A8"/>
    <w:rsid w:val="00644FCE"/>
    <w:rsid w:val="0066212E"/>
    <w:rsid w:val="006640D9"/>
    <w:rsid w:val="00692F71"/>
    <w:rsid w:val="006B3315"/>
    <w:rsid w:val="006D5668"/>
    <w:rsid w:val="006E1564"/>
    <w:rsid w:val="00710D7C"/>
    <w:rsid w:val="00713B51"/>
    <w:rsid w:val="00717542"/>
    <w:rsid w:val="00726A1C"/>
    <w:rsid w:val="00734B14"/>
    <w:rsid w:val="00736897"/>
    <w:rsid w:val="007437AD"/>
    <w:rsid w:val="00754665"/>
    <w:rsid w:val="00761E16"/>
    <w:rsid w:val="0076345A"/>
    <w:rsid w:val="007653F3"/>
    <w:rsid w:val="00771B68"/>
    <w:rsid w:val="00783F9D"/>
    <w:rsid w:val="00785310"/>
    <w:rsid w:val="0079365E"/>
    <w:rsid w:val="007A7F8F"/>
    <w:rsid w:val="007C12BF"/>
    <w:rsid w:val="007D5198"/>
    <w:rsid w:val="007E4D7A"/>
    <w:rsid w:val="007F7F39"/>
    <w:rsid w:val="008138D6"/>
    <w:rsid w:val="008267EF"/>
    <w:rsid w:val="00836149"/>
    <w:rsid w:val="00843A80"/>
    <w:rsid w:val="008465CE"/>
    <w:rsid w:val="0085142B"/>
    <w:rsid w:val="008609BF"/>
    <w:rsid w:val="00861C4A"/>
    <w:rsid w:val="008731BC"/>
    <w:rsid w:val="008C3C75"/>
    <w:rsid w:val="008C60C5"/>
    <w:rsid w:val="009161FE"/>
    <w:rsid w:val="009178CA"/>
    <w:rsid w:val="00943B6F"/>
    <w:rsid w:val="0095424E"/>
    <w:rsid w:val="009736D5"/>
    <w:rsid w:val="0097464F"/>
    <w:rsid w:val="00976A42"/>
    <w:rsid w:val="00980BBA"/>
    <w:rsid w:val="009913FB"/>
    <w:rsid w:val="0099441D"/>
    <w:rsid w:val="00997BFF"/>
    <w:rsid w:val="009A3706"/>
    <w:rsid w:val="009A53BA"/>
    <w:rsid w:val="009B0CA5"/>
    <w:rsid w:val="009B13E7"/>
    <w:rsid w:val="009B4D17"/>
    <w:rsid w:val="009B5186"/>
    <w:rsid w:val="009C1D39"/>
    <w:rsid w:val="009C7056"/>
    <w:rsid w:val="009F0803"/>
    <w:rsid w:val="00A01A15"/>
    <w:rsid w:val="00A03EBA"/>
    <w:rsid w:val="00A07D65"/>
    <w:rsid w:val="00A11E38"/>
    <w:rsid w:val="00A15FC6"/>
    <w:rsid w:val="00A1719F"/>
    <w:rsid w:val="00A278CF"/>
    <w:rsid w:val="00A27BFB"/>
    <w:rsid w:val="00A27D89"/>
    <w:rsid w:val="00A372FA"/>
    <w:rsid w:val="00A53969"/>
    <w:rsid w:val="00A64FA0"/>
    <w:rsid w:val="00A7116E"/>
    <w:rsid w:val="00A73012"/>
    <w:rsid w:val="00A83355"/>
    <w:rsid w:val="00A92BC7"/>
    <w:rsid w:val="00AA181A"/>
    <w:rsid w:val="00AA3475"/>
    <w:rsid w:val="00AB1C96"/>
    <w:rsid w:val="00AB54BD"/>
    <w:rsid w:val="00AC6968"/>
    <w:rsid w:val="00AE0100"/>
    <w:rsid w:val="00AF785F"/>
    <w:rsid w:val="00B00851"/>
    <w:rsid w:val="00B21920"/>
    <w:rsid w:val="00B224AD"/>
    <w:rsid w:val="00B2515B"/>
    <w:rsid w:val="00B27526"/>
    <w:rsid w:val="00B37B7F"/>
    <w:rsid w:val="00B61F36"/>
    <w:rsid w:val="00B64C52"/>
    <w:rsid w:val="00B65EC3"/>
    <w:rsid w:val="00B67962"/>
    <w:rsid w:val="00B75BBB"/>
    <w:rsid w:val="00B835E1"/>
    <w:rsid w:val="00B836E8"/>
    <w:rsid w:val="00B85E4C"/>
    <w:rsid w:val="00B9029B"/>
    <w:rsid w:val="00B92B0E"/>
    <w:rsid w:val="00BB6B29"/>
    <w:rsid w:val="00BC6052"/>
    <w:rsid w:val="00BE6899"/>
    <w:rsid w:val="00C02DC3"/>
    <w:rsid w:val="00C16558"/>
    <w:rsid w:val="00C54D04"/>
    <w:rsid w:val="00C77295"/>
    <w:rsid w:val="00C94CE6"/>
    <w:rsid w:val="00C9654F"/>
    <w:rsid w:val="00CB1F69"/>
    <w:rsid w:val="00CC4F47"/>
    <w:rsid w:val="00CE5521"/>
    <w:rsid w:val="00D01126"/>
    <w:rsid w:val="00D127E0"/>
    <w:rsid w:val="00D12AB6"/>
    <w:rsid w:val="00D3007C"/>
    <w:rsid w:val="00D32792"/>
    <w:rsid w:val="00D3362B"/>
    <w:rsid w:val="00D4784B"/>
    <w:rsid w:val="00D52BD1"/>
    <w:rsid w:val="00D63DED"/>
    <w:rsid w:val="00D75B1D"/>
    <w:rsid w:val="00D801F5"/>
    <w:rsid w:val="00D91DAB"/>
    <w:rsid w:val="00D921E3"/>
    <w:rsid w:val="00D92B39"/>
    <w:rsid w:val="00DA6CF1"/>
    <w:rsid w:val="00DC19CB"/>
    <w:rsid w:val="00DE22E6"/>
    <w:rsid w:val="00DF738C"/>
    <w:rsid w:val="00E33176"/>
    <w:rsid w:val="00E335FC"/>
    <w:rsid w:val="00E36DAC"/>
    <w:rsid w:val="00E40655"/>
    <w:rsid w:val="00E5177A"/>
    <w:rsid w:val="00E71FCA"/>
    <w:rsid w:val="00EC52BC"/>
    <w:rsid w:val="00EC6ACB"/>
    <w:rsid w:val="00ED559B"/>
    <w:rsid w:val="00EF1A27"/>
    <w:rsid w:val="00EF1A7C"/>
    <w:rsid w:val="00EF3921"/>
    <w:rsid w:val="00EF4052"/>
    <w:rsid w:val="00F14C97"/>
    <w:rsid w:val="00F1569A"/>
    <w:rsid w:val="00F162E1"/>
    <w:rsid w:val="00F22209"/>
    <w:rsid w:val="00F25AAD"/>
    <w:rsid w:val="00F26C05"/>
    <w:rsid w:val="00F34F0D"/>
    <w:rsid w:val="00F376CC"/>
    <w:rsid w:val="00F4013F"/>
    <w:rsid w:val="00F414DC"/>
    <w:rsid w:val="00F60578"/>
    <w:rsid w:val="00F65908"/>
    <w:rsid w:val="00F72474"/>
    <w:rsid w:val="00F8778F"/>
    <w:rsid w:val="00F90323"/>
    <w:rsid w:val="00F9148A"/>
    <w:rsid w:val="00FB07B0"/>
    <w:rsid w:val="00FC7C27"/>
    <w:rsid w:val="00FD19DE"/>
    <w:rsid w:val="00FE22DA"/>
    <w:rsid w:val="00FE31D9"/>
    <w:rsid w:val="00FF25D7"/>
    <w:rsid w:val="00FF49E9"/>
    <w:rsid w:val="018067FB"/>
    <w:rsid w:val="019E1F5B"/>
    <w:rsid w:val="021138F7"/>
    <w:rsid w:val="040A684F"/>
    <w:rsid w:val="06637E8B"/>
    <w:rsid w:val="07320B4F"/>
    <w:rsid w:val="092D370C"/>
    <w:rsid w:val="09DF606D"/>
    <w:rsid w:val="0A4B7B0B"/>
    <w:rsid w:val="0A776A16"/>
    <w:rsid w:val="0A8E5717"/>
    <w:rsid w:val="0AF3003D"/>
    <w:rsid w:val="0B5D195B"/>
    <w:rsid w:val="0D444B80"/>
    <w:rsid w:val="0E4E4068"/>
    <w:rsid w:val="0EC75A69"/>
    <w:rsid w:val="0EF3685E"/>
    <w:rsid w:val="11362D8C"/>
    <w:rsid w:val="11E802B3"/>
    <w:rsid w:val="12331667"/>
    <w:rsid w:val="127F140A"/>
    <w:rsid w:val="13946135"/>
    <w:rsid w:val="13C56BE1"/>
    <w:rsid w:val="141319BD"/>
    <w:rsid w:val="1473414C"/>
    <w:rsid w:val="14757D15"/>
    <w:rsid w:val="14837A44"/>
    <w:rsid w:val="157E3A16"/>
    <w:rsid w:val="171E763C"/>
    <w:rsid w:val="17975DFE"/>
    <w:rsid w:val="17E21B65"/>
    <w:rsid w:val="19727C40"/>
    <w:rsid w:val="19F459F1"/>
    <w:rsid w:val="1A3566BB"/>
    <w:rsid w:val="1C4F709D"/>
    <w:rsid w:val="1C8C02F2"/>
    <w:rsid w:val="1CA67605"/>
    <w:rsid w:val="1CC23D13"/>
    <w:rsid w:val="1D0D6E25"/>
    <w:rsid w:val="1D24052A"/>
    <w:rsid w:val="1E965458"/>
    <w:rsid w:val="1F590291"/>
    <w:rsid w:val="1F7A7D13"/>
    <w:rsid w:val="1FD2310C"/>
    <w:rsid w:val="20024E90"/>
    <w:rsid w:val="204D1B46"/>
    <w:rsid w:val="20B47E17"/>
    <w:rsid w:val="211652E6"/>
    <w:rsid w:val="212F7483"/>
    <w:rsid w:val="21617F9F"/>
    <w:rsid w:val="22285C7F"/>
    <w:rsid w:val="223C1E72"/>
    <w:rsid w:val="23887A65"/>
    <w:rsid w:val="23BF71FF"/>
    <w:rsid w:val="24333CEF"/>
    <w:rsid w:val="244A2F6C"/>
    <w:rsid w:val="24575689"/>
    <w:rsid w:val="24822706"/>
    <w:rsid w:val="24CC3981"/>
    <w:rsid w:val="2504136D"/>
    <w:rsid w:val="25E66CC5"/>
    <w:rsid w:val="25F767DC"/>
    <w:rsid w:val="2742644F"/>
    <w:rsid w:val="28316337"/>
    <w:rsid w:val="28447CD2"/>
    <w:rsid w:val="28D663CB"/>
    <w:rsid w:val="28EF020F"/>
    <w:rsid w:val="29E83878"/>
    <w:rsid w:val="2A0D248D"/>
    <w:rsid w:val="2A504FA9"/>
    <w:rsid w:val="2AF54300"/>
    <w:rsid w:val="2AFD1AC3"/>
    <w:rsid w:val="2B2067D5"/>
    <w:rsid w:val="2B6C7C6C"/>
    <w:rsid w:val="2BDB5655"/>
    <w:rsid w:val="2CF03F85"/>
    <w:rsid w:val="2D1F6963"/>
    <w:rsid w:val="2D524C40"/>
    <w:rsid w:val="2D5E35E4"/>
    <w:rsid w:val="2F02792B"/>
    <w:rsid w:val="309A0DD7"/>
    <w:rsid w:val="30DC4DA3"/>
    <w:rsid w:val="319770C5"/>
    <w:rsid w:val="31A17F44"/>
    <w:rsid w:val="31B47C77"/>
    <w:rsid w:val="32306183"/>
    <w:rsid w:val="3231396D"/>
    <w:rsid w:val="32CB5278"/>
    <w:rsid w:val="33353479"/>
    <w:rsid w:val="33AA1331"/>
    <w:rsid w:val="34116D24"/>
    <w:rsid w:val="348C6C89"/>
    <w:rsid w:val="356E2833"/>
    <w:rsid w:val="358931C8"/>
    <w:rsid w:val="361A4FF4"/>
    <w:rsid w:val="389B31C0"/>
    <w:rsid w:val="38BD1B07"/>
    <w:rsid w:val="38D17360"/>
    <w:rsid w:val="39025256"/>
    <w:rsid w:val="391C0B65"/>
    <w:rsid w:val="397351B7"/>
    <w:rsid w:val="39FC665F"/>
    <w:rsid w:val="3A331955"/>
    <w:rsid w:val="3A645312"/>
    <w:rsid w:val="3A7A7584"/>
    <w:rsid w:val="3BF318F8"/>
    <w:rsid w:val="3CC86CCC"/>
    <w:rsid w:val="3D6C3AFB"/>
    <w:rsid w:val="3DBA7065"/>
    <w:rsid w:val="3EA901FF"/>
    <w:rsid w:val="3F1735F3"/>
    <w:rsid w:val="3FE0432D"/>
    <w:rsid w:val="4005370C"/>
    <w:rsid w:val="4040582E"/>
    <w:rsid w:val="414F3518"/>
    <w:rsid w:val="41F63994"/>
    <w:rsid w:val="43525542"/>
    <w:rsid w:val="43595829"/>
    <w:rsid w:val="43A57FA3"/>
    <w:rsid w:val="43AC2EA4"/>
    <w:rsid w:val="43CA157C"/>
    <w:rsid w:val="446056EA"/>
    <w:rsid w:val="449D27EC"/>
    <w:rsid w:val="454D0A28"/>
    <w:rsid w:val="455410FD"/>
    <w:rsid w:val="460C4643"/>
    <w:rsid w:val="46101EFE"/>
    <w:rsid w:val="464078D3"/>
    <w:rsid w:val="46821C9A"/>
    <w:rsid w:val="481B4BAB"/>
    <w:rsid w:val="48FC21D7"/>
    <w:rsid w:val="493A2D00"/>
    <w:rsid w:val="49A563CB"/>
    <w:rsid w:val="4B5475B5"/>
    <w:rsid w:val="4B5A31E5"/>
    <w:rsid w:val="4B78606B"/>
    <w:rsid w:val="4C7402D7"/>
    <w:rsid w:val="4C940979"/>
    <w:rsid w:val="4DF116B6"/>
    <w:rsid w:val="4E037B64"/>
    <w:rsid w:val="4E4D0E87"/>
    <w:rsid w:val="4ED32A85"/>
    <w:rsid w:val="53B8319F"/>
    <w:rsid w:val="558A2919"/>
    <w:rsid w:val="57340D8E"/>
    <w:rsid w:val="58F307D5"/>
    <w:rsid w:val="590A624B"/>
    <w:rsid w:val="59B960C5"/>
    <w:rsid w:val="5B127639"/>
    <w:rsid w:val="5BA63421"/>
    <w:rsid w:val="5D7B6683"/>
    <w:rsid w:val="5DD40BD5"/>
    <w:rsid w:val="5E0C4813"/>
    <w:rsid w:val="5E631F59"/>
    <w:rsid w:val="5EE15B4F"/>
    <w:rsid w:val="5F425041"/>
    <w:rsid w:val="5F937B22"/>
    <w:rsid w:val="5FDF6558"/>
    <w:rsid w:val="600A1F35"/>
    <w:rsid w:val="60FE50BC"/>
    <w:rsid w:val="61001CE1"/>
    <w:rsid w:val="61CE5A7A"/>
    <w:rsid w:val="638C5151"/>
    <w:rsid w:val="63C94F54"/>
    <w:rsid w:val="643B228F"/>
    <w:rsid w:val="64EB797F"/>
    <w:rsid w:val="654270E5"/>
    <w:rsid w:val="65693446"/>
    <w:rsid w:val="658B0713"/>
    <w:rsid w:val="65EF7663"/>
    <w:rsid w:val="670E6FEF"/>
    <w:rsid w:val="673C1694"/>
    <w:rsid w:val="67943B44"/>
    <w:rsid w:val="67A0621A"/>
    <w:rsid w:val="686314D3"/>
    <w:rsid w:val="69D01CB1"/>
    <w:rsid w:val="69E06B54"/>
    <w:rsid w:val="6A632046"/>
    <w:rsid w:val="6A6D2E29"/>
    <w:rsid w:val="6B234F4A"/>
    <w:rsid w:val="6B52582F"/>
    <w:rsid w:val="6B923E7E"/>
    <w:rsid w:val="6BF80185"/>
    <w:rsid w:val="6C20050F"/>
    <w:rsid w:val="6CA34594"/>
    <w:rsid w:val="6D54763D"/>
    <w:rsid w:val="6D77157D"/>
    <w:rsid w:val="6DE01ACD"/>
    <w:rsid w:val="6EE36ECA"/>
    <w:rsid w:val="6F751AEC"/>
    <w:rsid w:val="714D51E5"/>
    <w:rsid w:val="718E22DF"/>
    <w:rsid w:val="71A86C22"/>
    <w:rsid w:val="72190D53"/>
    <w:rsid w:val="723C6C87"/>
    <w:rsid w:val="73A155A6"/>
    <w:rsid w:val="747D1B6F"/>
    <w:rsid w:val="74DD43BC"/>
    <w:rsid w:val="74F11989"/>
    <w:rsid w:val="76A70515"/>
    <w:rsid w:val="78FF0DA4"/>
    <w:rsid w:val="7A4D3D91"/>
    <w:rsid w:val="7A765096"/>
    <w:rsid w:val="7A7E3F4B"/>
    <w:rsid w:val="7A864636"/>
    <w:rsid w:val="7AAE5134"/>
    <w:rsid w:val="7B0E1773"/>
    <w:rsid w:val="7B450F0D"/>
    <w:rsid w:val="7BBD4F47"/>
    <w:rsid w:val="7C440C94"/>
    <w:rsid w:val="7C5D1497"/>
    <w:rsid w:val="7D5016AE"/>
    <w:rsid w:val="7E6D1C32"/>
    <w:rsid w:val="7FCF43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qFormat="1" w:unhideWhenUsed="0" w:uiPriority="0" w:semiHidden="0"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2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30"/>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8"/>
    <w:autoRedefine/>
    <w:unhideWhenUsed/>
    <w:qFormat/>
    <w:uiPriority w:val="9"/>
    <w:pPr>
      <w:keepNext/>
      <w:keepLines/>
      <w:spacing w:before="260" w:after="260" w:line="416" w:lineRule="auto"/>
      <w:ind w:firstLine="200" w:firstLineChars="200"/>
      <w:outlineLvl w:val="2"/>
    </w:pPr>
    <w:rPr>
      <w:bCs/>
      <w:sz w:val="32"/>
      <w:szCs w:val="32"/>
    </w:rPr>
  </w:style>
  <w:style w:type="paragraph" w:styleId="5">
    <w:name w:val="heading 4"/>
    <w:basedOn w:val="1"/>
    <w:next w:val="1"/>
    <w:link w:val="31"/>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32"/>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33"/>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3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0"/>
    <w:rPr>
      <w:rFonts w:ascii="Arial" w:hAnsi="Arial" w:eastAsia="黑体"/>
      <w:sz w:val="20"/>
    </w:rPr>
  </w:style>
  <w:style w:type="paragraph" w:styleId="12">
    <w:name w:val="Body Text"/>
    <w:basedOn w:val="1"/>
    <w:qFormat/>
    <w:uiPriority w:val="0"/>
    <w:rPr>
      <w:rFonts w:ascii="黑体" w:hAnsi="黑体" w:eastAsia="黑体" w:cs="黑体"/>
      <w:sz w:val="28"/>
      <w:szCs w:val="28"/>
      <w:lang w:val="en-US" w:eastAsia="en-US" w:bidi="ar-SA"/>
    </w:rPr>
  </w:style>
  <w:style w:type="paragraph" w:styleId="13">
    <w:name w:val="toc 3"/>
    <w:basedOn w:val="1"/>
    <w:next w:val="1"/>
    <w:semiHidden/>
    <w:unhideWhenUsed/>
    <w:uiPriority w:val="39"/>
    <w:pPr>
      <w:ind w:left="840" w:leftChars="400"/>
    </w:pPr>
  </w:style>
  <w:style w:type="paragraph" w:styleId="14">
    <w:name w:val="footer"/>
    <w:basedOn w:val="1"/>
    <w:link w:val="47"/>
    <w:unhideWhenUsed/>
    <w:qFormat/>
    <w:uiPriority w:val="99"/>
    <w:pPr>
      <w:tabs>
        <w:tab w:val="center" w:pos="4153"/>
        <w:tab w:val="right" w:pos="8306"/>
      </w:tabs>
      <w:snapToGrid w:val="0"/>
      <w:jc w:val="left"/>
    </w:pPr>
    <w:rPr>
      <w:sz w:val="18"/>
      <w:szCs w:val="18"/>
    </w:rPr>
  </w:style>
  <w:style w:type="paragraph" w:styleId="15">
    <w:name w:val="header"/>
    <w:basedOn w:val="1"/>
    <w:link w:val="46"/>
    <w:unhideWhenUsed/>
    <w:qFormat/>
    <w:uiPriority w:val="99"/>
    <w:pPr>
      <w:tabs>
        <w:tab w:val="center" w:pos="4153"/>
        <w:tab w:val="right" w:pos="8306"/>
      </w:tabs>
      <w:snapToGrid w:val="0"/>
      <w:jc w:val="center"/>
    </w:pPr>
    <w:rPr>
      <w:sz w:val="18"/>
      <w:szCs w:val="18"/>
    </w:rPr>
  </w:style>
  <w:style w:type="paragraph" w:styleId="16">
    <w:name w:val="toc 1"/>
    <w:basedOn w:val="1"/>
    <w:next w:val="1"/>
    <w:autoRedefine/>
    <w:unhideWhenUsed/>
    <w:qFormat/>
    <w:uiPriority w:val="39"/>
  </w:style>
  <w:style w:type="paragraph" w:styleId="17">
    <w:name w:val="index heading"/>
    <w:basedOn w:val="1"/>
    <w:next w:val="18"/>
    <w:qFormat/>
    <w:uiPriority w:val="0"/>
    <w:rPr>
      <w:rFonts w:ascii="Cambria" w:hAnsi="Cambria"/>
      <w:b/>
      <w:bCs/>
    </w:rPr>
  </w:style>
  <w:style w:type="paragraph" w:styleId="18">
    <w:name w:val="index 1"/>
    <w:basedOn w:val="1"/>
    <w:next w:val="1"/>
    <w:qFormat/>
    <w:uiPriority w:val="0"/>
  </w:style>
  <w:style w:type="paragraph" w:styleId="19">
    <w:name w:val="Subtitle"/>
    <w:basedOn w:val="1"/>
    <w:next w:val="1"/>
    <w:link w:val="3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0">
    <w:name w:val="toc 2"/>
    <w:basedOn w:val="1"/>
    <w:next w:val="1"/>
    <w:semiHidden/>
    <w:unhideWhenUsed/>
    <w:uiPriority w:val="39"/>
    <w:pPr>
      <w:ind w:left="420" w:leftChars="200"/>
    </w:pPr>
  </w:style>
  <w:style w:type="paragraph" w:styleId="2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2">
    <w:name w:val="Title"/>
    <w:basedOn w:val="1"/>
    <w:next w:val="1"/>
    <w:link w:val="37"/>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4">
    <w:name w:val="Table Grid"/>
    <w:basedOn w:val="23"/>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6">
    <w:name w:val="Strong"/>
    <w:basedOn w:val="25"/>
    <w:qFormat/>
    <w:uiPriority w:val="22"/>
    <w:rPr>
      <w:b/>
    </w:rPr>
  </w:style>
  <w:style w:type="character" w:styleId="27">
    <w:name w:val="Hyperlink"/>
    <w:basedOn w:val="25"/>
    <w:unhideWhenUsed/>
    <w:qFormat/>
    <w:uiPriority w:val="99"/>
    <w:rPr>
      <w:color w:val="0563C1" w:themeColor="hyperlink"/>
      <w:u w:val="single"/>
      <w14:textFill>
        <w14:solidFill>
          <w14:schemeClr w14:val="hlink"/>
        </w14:solidFill>
      </w14:textFill>
    </w:rPr>
  </w:style>
  <w:style w:type="character" w:customStyle="1" w:styleId="28">
    <w:name w:val="标题 3 字符"/>
    <w:basedOn w:val="25"/>
    <w:link w:val="4"/>
    <w:qFormat/>
    <w:uiPriority w:val="9"/>
    <w:rPr>
      <w:bCs/>
      <w:sz w:val="32"/>
      <w:szCs w:val="32"/>
    </w:rPr>
  </w:style>
  <w:style w:type="character" w:customStyle="1" w:styleId="29">
    <w:name w:val="标题 1 字符"/>
    <w:basedOn w:val="25"/>
    <w:link w:val="2"/>
    <w:qFormat/>
    <w:uiPriority w:val="9"/>
    <w:rPr>
      <w:rFonts w:asciiTheme="majorHAnsi" w:hAnsiTheme="majorHAnsi" w:eastAsiaTheme="majorEastAsia" w:cstheme="majorBidi"/>
      <w:color w:val="2F5597" w:themeColor="accent1" w:themeShade="BF"/>
      <w:sz w:val="48"/>
      <w:szCs w:val="48"/>
    </w:rPr>
  </w:style>
  <w:style w:type="character" w:customStyle="1" w:styleId="30">
    <w:name w:val="标题 2 字符"/>
    <w:basedOn w:val="25"/>
    <w:link w:val="3"/>
    <w:qFormat/>
    <w:uiPriority w:val="9"/>
    <w:rPr>
      <w:rFonts w:asciiTheme="majorHAnsi" w:hAnsiTheme="majorHAnsi" w:eastAsiaTheme="majorEastAsia" w:cstheme="majorBidi"/>
      <w:color w:val="2F5597" w:themeColor="accent1" w:themeShade="BF"/>
      <w:sz w:val="40"/>
      <w:szCs w:val="40"/>
    </w:rPr>
  </w:style>
  <w:style w:type="character" w:customStyle="1" w:styleId="31">
    <w:name w:val="标题 4 字符"/>
    <w:basedOn w:val="25"/>
    <w:link w:val="5"/>
    <w:qFormat/>
    <w:uiPriority w:val="9"/>
    <w:rPr>
      <w:rFonts w:cstheme="majorBidi"/>
      <w:color w:val="2F5597" w:themeColor="accent1" w:themeShade="BF"/>
      <w:sz w:val="28"/>
      <w:szCs w:val="28"/>
    </w:rPr>
  </w:style>
  <w:style w:type="character" w:customStyle="1" w:styleId="32">
    <w:name w:val="标题 5 字符"/>
    <w:basedOn w:val="25"/>
    <w:link w:val="6"/>
    <w:semiHidden/>
    <w:qFormat/>
    <w:uiPriority w:val="9"/>
    <w:rPr>
      <w:rFonts w:cstheme="majorBidi"/>
      <w:color w:val="2F5597" w:themeColor="accent1" w:themeShade="BF"/>
      <w:sz w:val="24"/>
      <w:szCs w:val="24"/>
    </w:rPr>
  </w:style>
  <w:style w:type="character" w:customStyle="1" w:styleId="33">
    <w:name w:val="标题 6 字符"/>
    <w:basedOn w:val="25"/>
    <w:link w:val="7"/>
    <w:semiHidden/>
    <w:qFormat/>
    <w:uiPriority w:val="9"/>
    <w:rPr>
      <w:rFonts w:cstheme="majorBidi"/>
      <w:b/>
      <w:bCs/>
      <w:color w:val="2F5597" w:themeColor="accent1" w:themeShade="BF"/>
    </w:rPr>
  </w:style>
  <w:style w:type="character" w:customStyle="1" w:styleId="34">
    <w:name w:val="标题 7 字符"/>
    <w:basedOn w:val="25"/>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5">
    <w:name w:val="标题 8 字符"/>
    <w:basedOn w:val="2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6">
    <w:name w:val="标题 9 字符"/>
    <w:basedOn w:val="2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7">
    <w:name w:val="标题 字符"/>
    <w:basedOn w:val="25"/>
    <w:link w:val="22"/>
    <w:qFormat/>
    <w:uiPriority w:val="10"/>
    <w:rPr>
      <w:rFonts w:asciiTheme="majorHAnsi" w:hAnsiTheme="majorHAnsi" w:eastAsiaTheme="majorEastAsia" w:cstheme="majorBidi"/>
      <w:spacing w:val="-10"/>
      <w:kern w:val="28"/>
      <w:sz w:val="56"/>
      <w:szCs w:val="56"/>
    </w:rPr>
  </w:style>
  <w:style w:type="character" w:customStyle="1" w:styleId="38">
    <w:name w:val="副标题 字符"/>
    <w:basedOn w:val="25"/>
    <w:link w:val="19"/>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9">
    <w:name w:val="Quote"/>
    <w:basedOn w:val="1"/>
    <w:next w:val="1"/>
    <w:link w:val="4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0">
    <w:name w:val="引用 字符"/>
    <w:basedOn w:val="25"/>
    <w:link w:val="39"/>
    <w:qFormat/>
    <w:uiPriority w:val="29"/>
    <w:rPr>
      <w:i/>
      <w:iCs/>
      <w:color w:val="404040" w:themeColor="text1" w:themeTint="BF"/>
      <w14:textFill>
        <w14:solidFill>
          <w14:schemeClr w14:val="tx1">
            <w14:lumMod w14:val="75000"/>
            <w14:lumOff w14:val="25000"/>
          </w14:schemeClr>
        </w14:solidFill>
      </w14:textFill>
    </w:rPr>
  </w:style>
  <w:style w:type="paragraph" w:styleId="41">
    <w:name w:val="List Paragraph"/>
    <w:basedOn w:val="1"/>
    <w:qFormat/>
    <w:uiPriority w:val="34"/>
    <w:pPr>
      <w:ind w:left="720"/>
      <w:contextualSpacing/>
    </w:pPr>
  </w:style>
  <w:style w:type="character" w:customStyle="1" w:styleId="42">
    <w:name w:val="明显强调1"/>
    <w:basedOn w:val="25"/>
    <w:qFormat/>
    <w:uiPriority w:val="21"/>
    <w:rPr>
      <w:i/>
      <w:iCs/>
      <w:color w:val="2F5597" w:themeColor="accent1" w:themeShade="BF"/>
    </w:rPr>
  </w:style>
  <w:style w:type="paragraph" w:styleId="43">
    <w:name w:val="Intense Quote"/>
    <w:basedOn w:val="1"/>
    <w:next w:val="1"/>
    <w:link w:val="4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4">
    <w:name w:val="明显引用 字符"/>
    <w:basedOn w:val="25"/>
    <w:link w:val="43"/>
    <w:qFormat/>
    <w:uiPriority w:val="30"/>
    <w:rPr>
      <w:i/>
      <w:iCs/>
      <w:color w:val="2F5597" w:themeColor="accent1" w:themeShade="BF"/>
    </w:rPr>
  </w:style>
  <w:style w:type="character" w:customStyle="1" w:styleId="45">
    <w:name w:val="明显参考1"/>
    <w:basedOn w:val="25"/>
    <w:qFormat/>
    <w:uiPriority w:val="32"/>
    <w:rPr>
      <w:b/>
      <w:bCs/>
      <w:smallCaps/>
      <w:color w:val="2F5597" w:themeColor="accent1" w:themeShade="BF"/>
      <w:spacing w:val="5"/>
    </w:rPr>
  </w:style>
  <w:style w:type="character" w:customStyle="1" w:styleId="46">
    <w:name w:val="页眉 字符"/>
    <w:basedOn w:val="25"/>
    <w:link w:val="15"/>
    <w:qFormat/>
    <w:uiPriority w:val="99"/>
    <w:rPr>
      <w:sz w:val="18"/>
      <w:szCs w:val="18"/>
    </w:rPr>
  </w:style>
  <w:style w:type="character" w:customStyle="1" w:styleId="47">
    <w:name w:val="页脚 字符"/>
    <w:basedOn w:val="25"/>
    <w:link w:val="14"/>
    <w:qFormat/>
    <w:uiPriority w:val="99"/>
    <w:rPr>
      <w:sz w:val="18"/>
      <w:szCs w:val="18"/>
    </w:rPr>
  </w:style>
  <w:style w:type="paragraph" w:customStyle="1" w:styleId="48">
    <w:name w:val="TOC 标题1"/>
    <w:basedOn w:val="2"/>
    <w:next w:val="1"/>
    <w:unhideWhenUsed/>
    <w:qFormat/>
    <w:uiPriority w:val="39"/>
    <w:pPr>
      <w:widowControl/>
      <w:spacing w:before="240" w:after="0" w:line="259" w:lineRule="auto"/>
      <w:jc w:val="left"/>
      <w:outlineLvl w:val="9"/>
    </w:pPr>
    <w:rPr>
      <w:kern w:val="0"/>
      <w:sz w:val="32"/>
      <w:szCs w:val="32"/>
    </w:rPr>
  </w:style>
  <w:style w:type="paragraph" w:customStyle="1" w:styleId="49">
    <w:name w:val="修订1"/>
    <w:hidden/>
    <w:semiHidden/>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50">
    <w:name w:val="修订2"/>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51">
    <w:name w:val="修订3"/>
    <w:hidden/>
    <w:semiHidden/>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52">
    <w:name w:val="修订4"/>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53">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4">
    <w:name w:val="标准文件_一级条标题"/>
    <w:basedOn w:val="55"/>
    <w:next w:val="53"/>
    <w:qFormat/>
    <w:uiPriority w:val="0"/>
    <w:pPr>
      <w:numPr>
        <w:ilvl w:val="2"/>
      </w:numPr>
      <w:spacing w:before="50" w:beforeLines="50" w:after="50" w:afterLines="50"/>
      <w:outlineLvl w:val="1"/>
    </w:pPr>
  </w:style>
  <w:style w:type="paragraph" w:customStyle="1" w:styleId="55">
    <w:name w:val="标准文件_章标题"/>
    <w:next w:val="53"/>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56">
    <w:name w:val="修订5"/>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57">
    <w:name w:val="修订6"/>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58">
    <w:name w:val="Revision"/>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59">
    <w:name w:val="段"/>
    <w:qFormat/>
    <w:uiPriority w:val="0"/>
    <w:pPr>
      <w:autoSpaceDE w:val="0"/>
      <w:autoSpaceDN w:val="0"/>
      <w:ind w:firstLine="200" w:firstLineChars="200"/>
      <w:jc w:val="both"/>
    </w:pPr>
    <w:rPr>
      <w:rFonts w:ascii="宋体" w:hAnsiTheme="minorHAnsi" w:eastAsiaTheme="minorEastAsia" w:cstheme="minorBidi"/>
      <w:kern w:val="2"/>
      <w:sz w:val="21"/>
      <w:szCs w:val="22"/>
      <w:lang w:val="en-US" w:eastAsia="zh-CN" w:bidi="ar-SA"/>
    </w:rPr>
  </w:style>
  <w:style w:type="character" w:customStyle="1" w:styleId="60">
    <w:name w:val="font41"/>
    <w:basedOn w:val="25"/>
    <w:qFormat/>
    <w:uiPriority w:val="0"/>
    <w:rPr>
      <w:rFonts w:hint="default" w:ascii="Times New Roman" w:hAnsi="Times New Roman" w:cs="Times New Roman"/>
      <w:color w:val="000000"/>
      <w:sz w:val="20"/>
      <w:szCs w:val="20"/>
      <w:u w:val="none"/>
    </w:rPr>
  </w:style>
  <w:style w:type="character" w:customStyle="1" w:styleId="61">
    <w:name w:val="font11"/>
    <w:basedOn w:val="25"/>
    <w:qFormat/>
    <w:uiPriority w:val="0"/>
    <w:rPr>
      <w:rFonts w:hint="eastAsia" w:ascii="宋体" w:hAnsi="宋体" w:eastAsia="宋体" w:cs="宋体"/>
      <w:color w:val="000000"/>
      <w:sz w:val="20"/>
      <w:szCs w:val="20"/>
      <w:u w:val="none"/>
    </w:rPr>
  </w:style>
  <w:style w:type="character" w:customStyle="1" w:styleId="62">
    <w:name w:val="font31"/>
    <w:basedOn w:val="25"/>
    <w:qFormat/>
    <w:uiPriority w:val="0"/>
    <w:rPr>
      <w:rFonts w:ascii="Courier New" w:hAnsi="Courier New" w:cs="Courier New"/>
      <w:color w:val="000000"/>
      <w:sz w:val="20"/>
      <w:szCs w:val="20"/>
      <w:u w:val="none"/>
    </w:rPr>
  </w:style>
  <w:style w:type="paragraph" w:customStyle="1" w:styleId="63">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64">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65">
    <w:name w:val="正文表标题"/>
    <w:next w:val="1"/>
    <w:qFormat/>
    <w:uiPriority w:val="0"/>
    <w:pPr>
      <w:tabs>
        <w:tab w:val="left" w:pos="360"/>
      </w:tabs>
      <w:jc w:val="center"/>
    </w:pPr>
    <w:rPr>
      <w:rFonts w:ascii="黑体" w:hAnsi="Calibri" w:eastAsia="黑体" w:cs="Times New Roman"/>
      <w:lang w:val="en-US" w:eastAsia="zh-CN" w:bidi="ar-SA"/>
    </w:rPr>
  </w:style>
  <w:style w:type="character" w:customStyle="1" w:styleId="66">
    <w:name w:val="正文文本 (2) + SimSun"/>
    <w:basedOn w:val="25"/>
    <w:qFormat/>
    <w:uiPriority w:val="0"/>
    <w:rPr>
      <w:rFonts w:ascii="宋体" w:hAnsi="宋体" w:cs="宋体"/>
      <w:spacing w:val="1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16ccba9-6d93-4ba1-9225-2edc75ce8157}"/>
        <w:style w:val=""/>
        <w:category>
          <w:name w:val="常规"/>
          <w:gallery w:val="placeholder"/>
        </w:category>
        <w:types>
          <w:type w:val="bbPlcHdr"/>
        </w:types>
        <w:behaviors>
          <w:behavior w:val="content"/>
        </w:behaviors>
        <w:description w:val=""/>
        <w:guid w:val="{316ccba9-6d93-4ba1-9225-2edc75ce8157}"/>
      </w:docPartPr>
      <w:docPartBody>
        <w:p w14:paraId="720AA616">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5"/>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CDFC02-025C-4F06-B0AE-A1F82A18E7E7}">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2062</Words>
  <Characters>2138</Characters>
  <Lines>1</Lines>
  <Paragraphs>1</Paragraphs>
  <TotalTime>2</TotalTime>
  <ScaleCrop>false</ScaleCrop>
  <LinksUpToDate>false</LinksUpToDate>
  <CharactersWithSpaces>2191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2025-11-09T13:56:00Z</dcterms:created>
  <dc:creator>蜥蜴 杨</dc:creator>
  <cp:lastModifiedBy>lizy</cp:lastModifiedBy>
  <cp:lastPrinted>2025-11-06T12:05:00Z</cp:lastPrinted>
  <dcterms:modified xsi:type="dcterms:W3CDTF">2026-10-13T11:41:33Z</dcterms:modified>
  <dc:title>中国植物学会</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eyJoZGlkIjoiYjgwZGMwODhlZWE5ZTQ5MWRiZTE4ZTE3MGE3MjQwYmMiLCJ1c2VySWQiOiI3NTIxOTQ0ODQifQ==</vt:lpwstr>
  </property>
  <property fmtid="{D5CDD505-2E9C-101B-9397-08002B2CF9AE}" pid="3" name="KSOProductBuildVer">
    <vt:lpwstr>2052-12.1.0.28505</vt:lpwstr>
  </property>
  <property fmtid="{D5CDD505-2E9C-101B-9397-08002B2CF9AE}" pid="4" name="ICV">
    <vt:lpwstr>568F2C768C914296AD9713EABBA50881_13</vt:lpwstr>
  </property>
</Properties>
</file>