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4F6" w14:textId="77777777" w:rsidR="004230E6" w:rsidRDefault="00000000">
      <w:pPr>
        <w:spacing w:line="360" w:lineRule="auto"/>
        <w:rPr>
          <w:rFonts w:ascii="宋体" w:eastAsia="宋体" w:hAnsi="宋体" w:cs="宋体" w:hint="eastAsia"/>
          <w:b/>
          <w:sz w:val="48"/>
          <w:szCs w:val="48"/>
        </w:rPr>
      </w:pPr>
      <w:r>
        <w:rPr>
          <w:rFonts w:ascii="宋体" w:eastAsia="宋体" w:hAnsi="宋体" w:cs="宋体" w:hint="eastAsia"/>
          <w:b/>
          <w:sz w:val="48"/>
          <w:szCs w:val="48"/>
        </w:rPr>
        <w:t>《</w:t>
      </w:r>
      <w:r>
        <w:rPr>
          <w:rFonts w:ascii="宋体" w:eastAsia="宋体" w:hAnsi="宋体" w:cs="宋体" w:hint="eastAsia"/>
          <w:sz w:val="52"/>
          <w:szCs w:val="52"/>
        </w:rPr>
        <w:t>植物室内苗期耐盐性鉴定技术规范</w:t>
      </w:r>
      <w:r>
        <w:rPr>
          <w:rFonts w:ascii="宋体" w:eastAsia="宋体" w:hAnsi="宋体" w:cs="宋体" w:hint="eastAsia"/>
          <w:b/>
          <w:sz w:val="48"/>
          <w:szCs w:val="48"/>
        </w:rPr>
        <w:t>》</w:t>
      </w:r>
    </w:p>
    <w:p w14:paraId="22C9C2AB" w14:textId="77777777" w:rsidR="004230E6" w:rsidRDefault="00000000">
      <w:pPr>
        <w:spacing w:line="360" w:lineRule="auto"/>
        <w:ind w:firstLineChars="200" w:firstLine="964"/>
        <w:jc w:val="center"/>
        <w:rPr>
          <w:rFonts w:ascii="宋体" w:eastAsia="宋体" w:hAnsi="宋体" w:cs="宋体" w:hint="eastAsia"/>
          <w:b/>
          <w:sz w:val="48"/>
          <w:szCs w:val="48"/>
        </w:rPr>
      </w:pPr>
      <w:r>
        <w:rPr>
          <w:rFonts w:ascii="宋体" w:eastAsia="宋体" w:hAnsi="宋体" w:cs="宋体" w:hint="eastAsia"/>
          <w:b/>
          <w:sz w:val="48"/>
          <w:szCs w:val="48"/>
        </w:rPr>
        <w:t>团体标准</w:t>
      </w:r>
    </w:p>
    <w:p w14:paraId="313DD0AC" w14:textId="77777777" w:rsidR="004230E6" w:rsidRDefault="004230E6">
      <w:pPr>
        <w:spacing w:line="360" w:lineRule="auto"/>
        <w:ind w:firstLineChars="200" w:firstLine="964"/>
        <w:jc w:val="center"/>
        <w:rPr>
          <w:rFonts w:ascii="宋体" w:eastAsia="宋体" w:hAnsi="宋体" w:cs="宋体" w:hint="eastAsia"/>
          <w:b/>
          <w:sz w:val="48"/>
          <w:szCs w:val="48"/>
        </w:rPr>
      </w:pPr>
    </w:p>
    <w:p w14:paraId="2B7B12F4" w14:textId="77777777" w:rsidR="004230E6" w:rsidRDefault="004230E6">
      <w:pPr>
        <w:spacing w:line="360" w:lineRule="auto"/>
        <w:ind w:firstLineChars="200" w:firstLine="964"/>
        <w:jc w:val="center"/>
        <w:rPr>
          <w:rFonts w:ascii="宋体" w:eastAsia="宋体" w:hAnsi="宋体" w:cs="宋体" w:hint="eastAsia"/>
          <w:b/>
          <w:sz w:val="48"/>
          <w:szCs w:val="48"/>
        </w:rPr>
      </w:pPr>
    </w:p>
    <w:p w14:paraId="2B92E486" w14:textId="77777777" w:rsidR="004230E6" w:rsidRDefault="00000000">
      <w:pPr>
        <w:spacing w:line="360" w:lineRule="auto"/>
        <w:ind w:firstLineChars="200" w:firstLine="964"/>
        <w:jc w:val="center"/>
        <w:rPr>
          <w:rFonts w:ascii="宋体" w:eastAsia="宋体" w:hAnsi="宋体" w:cs="宋体" w:hint="eastAsia"/>
          <w:b/>
          <w:sz w:val="48"/>
          <w:szCs w:val="48"/>
        </w:rPr>
      </w:pPr>
      <w:r>
        <w:rPr>
          <w:rFonts w:ascii="宋体" w:eastAsia="宋体" w:hAnsi="宋体" w:cs="宋体" w:hint="eastAsia"/>
          <w:b/>
          <w:sz w:val="48"/>
          <w:szCs w:val="48"/>
        </w:rPr>
        <w:t>编制说明</w:t>
      </w:r>
    </w:p>
    <w:p w14:paraId="3D559FE7" w14:textId="77777777" w:rsidR="004230E6" w:rsidRDefault="004230E6">
      <w:pPr>
        <w:spacing w:line="360" w:lineRule="auto"/>
        <w:ind w:firstLineChars="200" w:firstLine="482"/>
        <w:jc w:val="center"/>
        <w:rPr>
          <w:rFonts w:ascii="宋体" w:eastAsia="宋体" w:hAnsi="宋体" w:cs="宋体" w:hint="eastAsia"/>
          <w:b/>
          <w:sz w:val="24"/>
          <w:szCs w:val="24"/>
        </w:rPr>
      </w:pPr>
    </w:p>
    <w:p w14:paraId="18E435BD" w14:textId="77777777" w:rsidR="004230E6" w:rsidRDefault="004230E6">
      <w:pPr>
        <w:spacing w:line="360" w:lineRule="auto"/>
        <w:ind w:firstLineChars="200" w:firstLine="482"/>
        <w:jc w:val="center"/>
        <w:rPr>
          <w:rFonts w:ascii="宋体" w:eastAsia="宋体" w:hAnsi="宋体" w:cs="宋体" w:hint="eastAsia"/>
          <w:b/>
          <w:sz w:val="24"/>
          <w:szCs w:val="24"/>
        </w:rPr>
      </w:pPr>
    </w:p>
    <w:p w14:paraId="05EE5ED1" w14:textId="77777777" w:rsidR="004230E6" w:rsidRDefault="004230E6">
      <w:pPr>
        <w:spacing w:line="360" w:lineRule="auto"/>
        <w:ind w:firstLineChars="200" w:firstLine="482"/>
        <w:jc w:val="center"/>
        <w:rPr>
          <w:rFonts w:ascii="宋体" w:eastAsia="宋体" w:hAnsi="宋体" w:cs="宋体" w:hint="eastAsia"/>
          <w:b/>
          <w:sz w:val="24"/>
          <w:szCs w:val="24"/>
        </w:rPr>
      </w:pPr>
    </w:p>
    <w:p w14:paraId="24B83286" w14:textId="77777777" w:rsidR="004230E6" w:rsidRDefault="004230E6">
      <w:pPr>
        <w:spacing w:line="360" w:lineRule="auto"/>
        <w:ind w:firstLineChars="200" w:firstLine="482"/>
        <w:jc w:val="center"/>
        <w:rPr>
          <w:rFonts w:ascii="宋体" w:eastAsia="宋体" w:hAnsi="宋体" w:cs="宋体" w:hint="eastAsia"/>
          <w:b/>
          <w:sz w:val="24"/>
          <w:szCs w:val="24"/>
        </w:rPr>
      </w:pPr>
    </w:p>
    <w:p w14:paraId="4976F3CE" w14:textId="77777777" w:rsidR="004230E6" w:rsidRDefault="004230E6">
      <w:pPr>
        <w:spacing w:line="360" w:lineRule="auto"/>
        <w:ind w:firstLineChars="200" w:firstLine="482"/>
        <w:jc w:val="center"/>
        <w:rPr>
          <w:rFonts w:ascii="宋体" w:eastAsia="宋体" w:hAnsi="宋体" w:cs="宋体" w:hint="eastAsia"/>
          <w:b/>
          <w:sz w:val="24"/>
          <w:szCs w:val="24"/>
        </w:rPr>
      </w:pPr>
    </w:p>
    <w:p w14:paraId="7373F75B" w14:textId="77777777" w:rsidR="004230E6" w:rsidRDefault="004230E6">
      <w:pPr>
        <w:spacing w:line="360" w:lineRule="auto"/>
        <w:ind w:firstLineChars="200" w:firstLine="482"/>
        <w:jc w:val="center"/>
        <w:rPr>
          <w:rFonts w:ascii="宋体" w:eastAsia="宋体" w:hAnsi="宋体" w:cs="宋体" w:hint="eastAsia"/>
          <w:b/>
          <w:sz w:val="24"/>
          <w:szCs w:val="24"/>
        </w:rPr>
      </w:pPr>
    </w:p>
    <w:p w14:paraId="42E54FE0" w14:textId="77777777" w:rsidR="004230E6" w:rsidRDefault="004230E6">
      <w:pPr>
        <w:spacing w:line="360" w:lineRule="auto"/>
        <w:ind w:firstLineChars="200" w:firstLine="482"/>
        <w:jc w:val="center"/>
        <w:rPr>
          <w:rFonts w:ascii="宋体" w:eastAsia="宋体" w:hAnsi="宋体" w:cs="宋体" w:hint="eastAsia"/>
          <w:b/>
          <w:sz w:val="24"/>
          <w:szCs w:val="24"/>
        </w:rPr>
      </w:pPr>
    </w:p>
    <w:p w14:paraId="72361AEA" w14:textId="77777777" w:rsidR="004230E6" w:rsidRDefault="004230E6">
      <w:pPr>
        <w:spacing w:line="360" w:lineRule="auto"/>
        <w:ind w:firstLineChars="200" w:firstLine="482"/>
        <w:jc w:val="center"/>
        <w:rPr>
          <w:rFonts w:ascii="宋体" w:eastAsia="宋体" w:hAnsi="宋体" w:cs="宋体" w:hint="eastAsia"/>
          <w:b/>
          <w:sz w:val="24"/>
          <w:szCs w:val="24"/>
        </w:rPr>
      </w:pPr>
    </w:p>
    <w:p w14:paraId="20B37B58" w14:textId="77777777" w:rsidR="004230E6" w:rsidRDefault="004230E6">
      <w:pPr>
        <w:spacing w:line="360" w:lineRule="auto"/>
        <w:ind w:firstLineChars="200" w:firstLine="482"/>
        <w:jc w:val="center"/>
        <w:rPr>
          <w:rFonts w:ascii="宋体" w:eastAsia="宋体" w:hAnsi="宋体" w:cs="宋体" w:hint="eastAsia"/>
          <w:b/>
          <w:sz w:val="24"/>
          <w:szCs w:val="24"/>
        </w:rPr>
      </w:pPr>
    </w:p>
    <w:p w14:paraId="208FAE05" w14:textId="77777777" w:rsidR="004230E6" w:rsidRDefault="004230E6">
      <w:pPr>
        <w:spacing w:line="360" w:lineRule="auto"/>
        <w:ind w:firstLineChars="200" w:firstLine="482"/>
        <w:jc w:val="center"/>
        <w:rPr>
          <w:rFonts w:ascii="宋体" w:eastAsia="宋体" w:hAnsi="宋体" w:cs="宋体" w:hint="eastAsia"/>
          <w:b/>
          <w:sz w:val="24"/>
          <w:szCs w:val="24"/>
        </w:rPr>
      </w:pPr>
    </w:p>
    <w:p w14:paraId="4313C17E" w14:textId="77777777" w:rsidR="004230E6" w:rsidRDefault="004230E6">
      <w:pPr>
        <w:spacing w:line="360" w:lineRule="auto"/>
        <w:ind w:firstLineChars="200" w:firstLine="482"/>
        <w:jc w:val="center"/>
        <w:rPr>
          <w:rFonts w:ascii="宋体" w:eastAsia="宋体" w:hAnsi="宋体" w:cs="宋体" w:hint="eastAsia"/>
          <w:b/>
          <w:sz w:val="24"/>
          <w:szCs w:val="24"/>
        </w:rPr>
      </w:pPr>
    </w:p>
    <w:p w14:paraId="67F2EA25" w14:textId="77777777" w:rsidR="004230E6" w:rsidRDefault="004230E6">
      <w:pPr>
        <w:spacing w:line="360" w:lineRule="auto"/>
        <w:ind w:firstLineChars="200" w:firstLine="482"/>
        <w:jc w:val="center"/>
        <w:rPr>
          <w:rFonts w:ascii="宋体" w:eastAsia="宋体" w:hAnsi="宋体" w:cs="宋体" w:hint="eastAsia"/>
          <w:b/>
          <w:sz w:val="24"/>
          <w:szCs w:val="24"/>
        </w:rPr>
      </w:pPr>
    </w:p>
    <w:p w14:paraId="6D0D7271" w14:textId="77777777" w:rsidR="004230E6" w:rsidRDefault="004230E6">
      <w:pPr>
        <w:spacing w:line="360" w:lineRule="auto"/>
        <w:ind w:firstLineChars="200" w:firstLine="482"/>
        <w:jc w:val="center"/>
        <w:rPr>
          <w:rFonts w:ascii="宋体" w:eastAsia="宋体" w:hAnsi="宋体" w:cs="宋体" w:hint="eastAsia"/>
          <w:b/>
          <w:sz w:val="24"/>
          <w:szCs w:val="24"/>
        </w:rPr>
      </w:pPr>
    </w:p>
    <w:p w14:paraId="37EC538F" w14:textId="77777777" w:rsidR="004230E6" w:rsidRDefault="004230E6">
      <w:pPr>
        <w:spacing w:line="360" w:lineRule="auto"/>
        <w:ind w:firstLineChars="200" w:firstLine="482"/>
        <w:jc w:val="center"/>
        <w:rPr>
          <w:rFonts w:ascii="宋体" w:eastAsia="宋体" w:hAnsi="宋体" w:cs="宋体" w:hint="eastAsia"/>
          <w:b/>
          <w:sz w:val="24"/>
          <w:szCs w:val="24"/>
        </w:rPr>
      </w:pPr>
    </w:p>
    <w:p w14:paraId="004E6E31" w14:textId="77777777" w:rsidR="004230E6" w:rsidRDefault="004230E6">
      <w:pPr>
        <w:spacing w:line="360" w:lineRule="auto"/>
        <w:ind w:firstLineChars="200" w:firstLine="482"/>
        <w:jc w:val="center"/>
        <w:rPr>
          <w:rFonts w:ascii="宋体" w:eastAsia="宋体" w:hAnsi="宋体" w:cs="宋体" w:hint="eastAsia"/>
          <w:b/>
          <w:sz w:val="24"/>
          <w:szCs w:val="24"/>
        </w:rPr>
      </w:pPr>
    </w:p>
    <w:p w14:paraId="5BE60E16" w14:textId="77777777" w:rsidR="004230E6" w:rsidRDefault="004230E6">
      <w:pPr>
        <w:spacing w:line="360" w:lineRule="auto"/>
        <w:ind w:firstLineChars="200" w:firstLine="482"/>
        <w:jc w:val="center"/>
        <w:rPr>
          <w:rFonts w:ascii="宋体" w:eastAsia="宋体" w:hAnsi="宋体" w:cs="宋体" w:hint="eastAsia"/>
          <w:b/>
          <w:sz w:val="24"/>
          <w:szCs w:val="24"/>
        </w:rPr>
      </w:pPr>
    </w:p>
    <w:p w14:paraId="23B75C5B" w14:textId="77777777" w:rsidR="004230E6" w:rsidRDefault="004230E6">
      <w:pPr>
        <w:spacing w:line="360" w:lineRule="auto"/>
        <w:ind w:firstLineChars="200" w:firstLine="482"/>
        <w:jc w:val="center"/>
        <w:rPr>
          <w:rFonts w:ascii="宋体" w:eastAsia="宋体" w:hAnsi="宋体" w:cs="宋体" w:hint="eastAsia"/>
          <w:b/>
          <w:sz w:val="24"/>
          <w:szCs w:val="24"/>
        </w:rPr>
      </w:pPr>
    </w:p>
    <w:p w14:paraId="4C5EC24F" w14:textId="77777777" w:rsidR="004230E6" w:rsidRDefault="00000000">
      <w:pPr>
        <w:spacing w:line="360" w:lineRule="auto"/>
        <w:ind w:firstLineChars="200" w:firstLine="482"/>
        <w:jc w:val="center"/>
        <w:rPr>
          <w:rFonts w:ascii="宋体" w:eastAsia="宋体" w:hAnsi="宋体" w:cs="宋体" w:hint="eastAsia"/>
          <w:b/>
          <w:sz w:val="24"/>
          <w:szCs w:val="24"/>
        </w:rPr>
      </w:pPr>
      <w:r>
        <w:rPr>
          <w:rFonts w:ascii="宋体" w:eastAsia="宋体" w:hAnsi="宋体" w:cs="宋体" w:hint="eastAsia"/>
          <w:b/>
          <w:sz w:val="24"/>
          <w:szCs w:val="24"/>
        </w:rPr>
        <w:t>中国科学院遗传与发育生物学研究所</w:t>
      </w:r>
    </w:p>
    <w:p w14:paraId="6A5133D4" w14:textId="77777777" w:rsidR="004230E6" w:rsidRDefault="00000000">
      <w:pPr>
        <w:spacing w:line="360" w:lineRule="auto"/>
        <w:ind w:firstLineChars="200" w:firstLine="482"/>
        <w:jc w:val="center"/>
        <w:rPr>
          <w:rFonts w:ascii="宋体" w:eastAsia="宋体" w:hAnsi="宋体" w:cs="宋体" w:hint="eastAsia"/>
          <w:b/>
          <w:sz w:val="24"/>
          <w:szCs w:val="24"/>
        </w:rPr>
      </w:pPr>
      <w:r>
        <w:rPr>
          <w:rFonts w:ascii="宋体" w:eastAsia="宋体" w:hAnsi="宋体" w:cs="宋体" w:hint="eastAsia"/>
          <w:b/>
          <w:sz w:val="24"/>
          <w:szCs w:val="24"/>
        </w:rPr>
        <w:t>2026年9月</w:t>
      </w:r>
    </w:p>
    <w:p w14:paraId="483E31C5" w14:textId="77777777" w:rsidR="004230E6" w:rsidRDefault="004230E6">
      <w:pPr>
        <w:spacing w:line="360" w:lineRule="auto"/>
        <w:ind w:firstLineChars="200" w:firstLine="482"/>
        <w:jc w:val="center"/>
        <w:rPr>
          <w:rFonts w:ascii="宋体" w:eastAsia="宋体" w:hAnsi="宋体" w:cs="宋体" w:hint="eastAsia"/>
          <w:b/>
          <w:sz w:val="24"/>
          <w:szCs w:val="24"/>
        </w:rPr>
        <w:sectPr w:rsidR="004230E6">
          <w:pgSz w:w="11906" w:h="16838"/>
          <w:pgMar w:top="1440" w:right="1800" w:bottom="1440" w:left="1800" w:header="851" w:footer="992" w:gutter="0"/>
          <w:cols w:space="425"/>
          <w:docGrid w:type="lines" w:linePitch="312"/>
        </w:sectPr>
      </w:pPr>
    </w:p>
    <w:sdt>
      <w:sdtPr>
        <w:rPr>
          <w:rFonts w:ascii="宋体" w:eastAsia="宋体" w:hAnsi="宋体" w:cs="宋体" w:hint="eastAsia"/>
          <w:color w:val="000000" w:themeColor="text1"/>
          <w:kern w:val="2"/>
          <w:sz w:val="21"/>
          <w:szCs w:val="22"/>
          <w:lang w:val="zh-CN"/>
        </w:rPr>
        <w:id w:val="1779453313"/>
        <w:docPartObj>
          <w:docPartGallery w:val="Table of Contents"/>
          <w:docPartUnique/>
        </w:docPartObj>
      </w:sdtPr>
      <w:sdtEndPr>
        <w:rPr>
          <w:b/>
          <w:bCs/>
          <w:kern w:val="0"/>
          <w:sz w:val="32"/>
          <w:szCs w:val="32"/>
        </w:rPr>
      </w:sdtEndPr>
      <w:sdtContent>
        <w:p w14:paraId="15081FAC" w14:textId="77777777" w:rsidR="004230E6" w:rsidRDefault="00000000">
          <w:pPr>
            <w:pStyle w:val="TOC10"/>
            <w:keepNext w:val="0"/>
            <w:keepLines w:val="0"/>
            <w:widowControl w:val="0"/>
            <w:spacing w:line="360" w:lineRule="auto"/>
            <w:jc w:val="center"/>
            <w:rPr>
              <w:rFonts w:ascii="宋体" w:eastAsia="宋体" w:hAnsi="宋体" w:cs="宋体" w:hint="eastAsia"/>
              <w:b/>
              <w:bCs/>
              <w:color w:val="000000" w:themeColor="text1"/>
            </w:rPr>
          </w:pPr>
          <w:r>
            <w:rPr>
              <w:rFonts w:ascii="宋体" w:eastAsia="宋体" w:hAnsi="宋体" w:cs="宋体" w:hint="eastAsia"/>
              <w:b/>
              <w:bCs/>
              <w:color w:val="000000" w:themeColor="text1"/>
              <w:lang w:val="zh-CN"/>
            </w:rPr>
            <w:t>目录</w:t>
          </w:r>
        </w:p>
      </w:sdtContent>
    </w:sdt>
    <w:p w14:paraId="73B3B970" w14:textId="77777777" w:rsidR="004230E6" w:rsidRDefault="004230E6">
      <w:pPr>
        <w:pStyle w:val="af3"/>
        <w:spacing w:line="360" w:lineRule="auto"/>
        <w:ind w:left="0"/>
        <w:jc w:val="left"/>
        <w:outlineLvl w:val="0"/>
        <w:rPr>
          <w:rFonts w:ascii="宋体" w:eastAsia="宋体" w:hAnsi="宋体" w:cs="宋体" w:hint="eastAsia"/>
          <w:b/>
          <w:bCs/>
          <w:kern w:val="44"/>
          <w:sz w:val="28"/>
          <w:szCs w:val="44"/>
        </w:rPr>
      </w:pPr>
      <w:bookmarkStart w:id="0" w:name="_Toc203050987"/>
      <w:bookmarkStart w:id="1" w:name="_Toc213659361"/>
    </w:p>
    <w:p w14:paraId="50DDE11E"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一 、工作简况</w:t>
      </w:r>
    </w:p>
    <w:p w14:paraId="6B12173C"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二、制定（修订）标准的必要性和意义</w:t>
      </w:r>
    </w:p>
    <w:p w14:paraId="301242BF"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三、主要起草过程</w:t>
      </w:r>
    </w:p>
    <w:p w14:paraId="47976D3B"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四、制定（修订）标准的原则和依据，与现行法律、法规、标准的关系</w:t>
      </w:r>
    </w:p>
    <w:p w14:paraId="17465417"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五、主要技术内容的确定依据</w:t>
      </w:r>
    </w:p>
    <w:p w14:paraId="0014C02A"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六、重大意见分歧的处理依据和结果</w:t>
      </w:r>
    </w:p>
    <w:p w14:paraId="371CBB83"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七、采用国际标准或国外先进标准的，说明采标程度，以及国内外同类标准水平的对比情况</w:t>
      </w:r>
    </w:p>
    <w:p w14:paraId="64526987"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八、贯彻标准的措施建议</w:t>
      </w:r>
    </w:p>
    <w:p w14:paraId="48A75ED2" w14:textId="77777777" w:rsidR="004230E6" w:rsidRDefault="00000000">
      <w:pPr>
        <w:pStyle w:val="af3"/>
        <w:spacing w:line="360" w:lineRule="auto"/>
        <w:ind w:left="0"/>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九、其他应说明的事项</w:t>
      </w:r>
    </w:p>
    <w:p w14:paraId="57ED8504" w14:textId="77777777" w:rsidR="004230E6" w:rsidRDefault="004230E6">
      <w:pPr>
        <w:pStyle w:val="af3"/>
        <w:spacing w:line="360" w:lineRule="auto"/>
        <w:ind w:left="0"/>
        <w:jc w:val="left"/>
        <w:outlineLvl w:val="0"/>
        <w:rPr>
          <w:rFonts w:ascii="宋体" w:eastAsia="宋体" w:hAnsi="宋体" w:cs="宋体" w:hint="eastAsia"/>
          <w:b/>
          <w:bCs/>
          <w:kern w:val="44"/>
          <w:sz w:val="28"/>
          <w:szCs w:val="44"/>
        </w:rPr>
      </w:pPr>
    </w:p>
    <w:p w14:paraId="4E14C56A" w14:textId="77777777" w:rsidR="004230E6" w:rsidRDefault="004230E6">
      <w:pPr>
        <w:pStyle w:val="af3"/>
        <w:spacing w:line="360" w:lineRule="auto"/>
        <w:ind w:left="0"/>
        <w:jc w:val="left"/>
        <w:outlineLvl w:val="0"/>
        <w:rPr>
          <w:rFonts w:ascii="宋体" w:eastAsia="宋体" w:hAnsi="宋体" w:cs="宋体" w:hint="eastAsia"/>
          <w:b/>
          <w:bCs/>
          <w:kern w:val="44"/>
          <w:sz w:val="28"/>
          <w:szCs w:val="44"/>
        </w:rPr>
        <w:sectPr w:rsidR="004230E6">
          <w:pgSz w:w="11906" w:h="16838"/>
          <w:pgMar w:top="1440" w:right="1800" w:bottom="1440" w:left="1800" w:header="851" w:footer="992" w:gutter="0"/>
          <w:cols w:space="425"/>
          <w:docGrid w:type="lines" w:linePitch="312"/>
        </w:sectPr>
      </w:pPr>
    </w:p>
    <w:p w14:paraId="0DE660FB"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lastRenderedPageBreak/>
        <w:t>工作简况</w:t>
      </w:r>
      <w:bookmarkEnd w:id="0"/>
      <w:bookmarkEnd w:id="1"/>
    </w:p>
    <w:p w14:paraId="5A233F1F"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任务来源：根据《中华人民共和国标准化法》、《团体标准管理规定》、《中国植物学会团体标准制定程序》的有关精神和规定，依托盐碱地综合改造利用科技支撑项目耐盐碱适生品种筛选与创制项目耐盐碱先锋植物种质资源收集评价与精准鉴定子课题。</w:t>
      </w:r>
    </w:p>
    <w:p w14:paraId="15395C1C" w14:textId="77777777" w:rsidR="004230E6" w:rsidRDefault="00000000">
      <w:pPr>
        <w:spacing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起草单位：</w:t>
      </w:r>
      <w:bookmarkStart w:id="2" w:name="_Hlk194939130"/>
      <w:r>
        <w:rPr>
          <w:rFonts w:ascii="宋体" w:eastAsia="宋体" w:hAnsi="宋体" w:cs="宋体" w:hint="eastAsia"/>
          <w:sz w:val="32"/>
          <w:szCs w:val="32"/>
        </w:rPr>
        <w:t>中国科学院遗传与发育生物学研究所、中国科学院西北生态环境资源研究院、中国科学院新疆生态与地理研究所、内蒙古自治区农牧业科学院、东北林业大学。</w:t>
      </w:r>
    </w:p>
    <w:p w14:paraId="548F5B76" w14:textId="77777777" w:rsidR="004230E6" w:rsidRDefault="00000000">
      <w:pPr>
        <w:spacing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归口单位：</w:t>
      </w:r>
      <w:bookmarkEnd w:id="2"/>
      <w:r>
        <w:rPr>
          <w:rFonts w:ascii="宋体" w:eastAsia="宋体" w:hAnsi="宋体" w:cs="宋体" w:hint="eastAsia"/>
          <w:sz w:val="32"/>
          <w:szCs w:val="32"/>
        </w:rPr>
        <w:t>中国植物学会</w:t>
      </w:r>
    </w:p>
    <w:p w14:paraId="1AB4AE0A"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主要起草人：杨宝军、范敬伟、唐丁、潘晶、刘华威、邱晓、管清杰、王鹏程、李依莎。</w:t>
      </w:r>
    </w:p>
    <w:p w14:paraId="208565E4"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3" w:name="_Toc213659362"/>
      <w:r>
        <w:rPr>
          <w:rFonts w:ascii="宋体" w:eastAsia="宋体" w:hAnsi="宋体" w:cs="宋体" w:hint="eastAsia"/>
          <w:b/>
          <w:bCs/>
          <w:kern w:val="44"/>
          <w:sz w:val="28"/>
          <w:szCs w:val="44"/>
        </w:rPr>
        <w:t>制定（修订）标准的必要性和意义</w:t>
      </w:r>
      <w:bookmarkEnd w:id="3"/>
    </w:p>
    <w:p w14:paraId="38A28E68"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我国盐碱地资源分布广泛、类型复杂，盐碱地生态修复与资源化利用是保障国土生态安全、扩充可利用土地资源、提升区域生态承载力的重要举措。耐盐先锋植物种质筛选是盐碱地植被恢复、生态治理与高效利用的核心基础，其中室内苗期耐盐筛选具有周期短、可控性强、重复性高、可批量鉴定的优势，是目前种质资源初步评价、抗逆品种选育、抗逆机理研究的技术手段。</w:t>
      </w:r>
    </w:p>
    <w:p w14:paraId="4F3DF68F"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目前，国内外尚无统一、通用的植物苗期耐盐筛选专</w:t>
      </w:r>
      <w:r>
        <w:rPr>
          <w:rFonts w:ascii="宋体" w:eastAsia="宋体" w:hAnsi="宋体" w:cs="宋体" w:hint="eastAsia"/>
          <w:sz w:val="32"/>
          <w:szCs w:val="32"/>
        </w:rPr>
        <w:lastRenderedPageBreak/>
        <w:t>用技术规范。各类科研机构筛选方法体系独立、参数不统一、评价口径不一致，不同试验结果难以对比。国内现有耐盐相关标准多集中于玉米、水稻、小麦等主粮作物，存在作物覆盖单一、适用场景局限等问题，针对生态修复先锋植物、饲用及经济耐盐植物的通用苗期筛选标准缺失。同时，行业普遍存在盐溶液配比不统一、培养环境参数不规范、胁迫时长梯度混乱、评价指标体系各异、耐盐耐分级标准不统一等问题，导致不同实验室、不同单位的苗期筛选数据重复性差、可比性弱，制约了耐盐植物种质资源精准鉴定、规范化评价与规模化推广应用。</w:t>
      </w:r>
    </w:p>
    <w:p w14:paraId="1728B06E"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针对以上问题与标准体系空白，本项目拟制定《</w:t>
      </w:r>
      <w:r>
        <w:rPr>
          <w:rFonts w:ascii="宋体" w:eastAsia="宋体" w:hAnsi="宋体" w:cs="宋体"/>
          <w:sz w:val="32"/>
          <w:szCs w:val="32"/>
        </w:rPr>
        <w:t>植物室内苗期耐盐性鉴定技术规范</w:t>
      </w:r>
      <w:r>
        <w:rPr>
          <w:rFonts w:ascii="宋体" w:eastAsia="宋体" w:hAnsi="宋体" w:cs="宋体" w:hint="eastAsia"/>
          <w:sz w:val="32"/>
          <w:szCs w:val="32"/>
        </w:rPr>
        <w:t>》团体标准。项目旨在统一室内苗期耐盐筛选的术语定义、试验材料处理、盐溶液配制、胁迫处理方法、环境条件、指标检测方法、耐盐等级评价体系，建立一套可控、可重复、可对比、可推广的通用型苗期耐盐鉴定技术体系。</w:t>
      </w:r>
    </w:p>
    <w:p w14:paraId="0F0535B2"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本标准的制定与实施具有重要的行业价值与应用意义，一是填补我国植物苗期耐盐筛选标准空白，弥补现有标准聚焦主粮作物、缺乏植物通用技术规范的短板；二是统一行业技术规范，解决长期以来试验方法杂乱、数据不可比、结果不可复现的行业难题，提升国内耐盐种质鉴定工作的标准化、规范化水平；三是提供统一的技术依据，</w:t>
      </w:r>
      <w:r>
        <w:rPr>
          <w:rFonts w:ascii="宋体" w:eastAsia="宋体" w:hAnsi="宋体" w:cs="宋体" w:hint="eastAsia"/>
          <w:sz w:val="32"/>
          <w:szCs w:val="32"/>
        </w:rPr>
        <w:lastRenderedPageBreak/>
        <w:t>支撑耐盐种质资源筛选、新品种选育、抗逆机理研究与盐碱地生态修复工程应用；四是完善我国耐盐植物鉴定标准体系，对推动我国盐碱土地资源化高效利用具有重要的技术支撑作用与推广价值。</w:t>
      </w:r>
    </w:p>
    <w:p w14:paraId="55E996F3"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4" w:name="_Toc213659363"/>
      <w:bookmarkStart w:id="5" w:name="_Toc203050422"/>
      <w:bookmarkStart w:id="6" w:name="_Toc203050989"/>
      <w:r>
        <w:rPr>
          <w:rFonts w:ascii="宋体" w:eastAsia="宋体" w:hAnsi="宋体" w:cs="宋体" w:hint="eastAsia"/>
          <w:b/>
          <w:bCs/>
          <w:kern w:val="44"/>
          <w:sz w:val="28"/>
          <w:szCs w:val="44"/>
        </w:rPr>
        <w:t>主要起草过程</w:t>
      </w:r>
      <w:bookmarkEnd w:id="4"/>
      <w:bookmarkEnd w:id="5"/>
      <w:bookmarkEnd w:id="6"/>
    </w:p>
    <w:p w14:paraId="7D50C556" w14:textId="77777777" w:rsidR="004230E6" w:rsidRDefault="00000000">
      <w:pPr>
        <w:pStyle w:val="af3"/>
        <w:numPr>
          <w:ilvl w:val="0"/>
          <w:numId w:val="3"/>
        </w:numPr>
        <w:spacing w:line="360" w:lineRule="auto"/>
        <w:jc w:val="left"/>
        <w:rPr>
          <w:rFonts w:ascii="宋体" w:eastAsia="宋体" w:hAnsi="宋体" w:cs="宋体" w:hint="eastAsia"/>
          <w:sz w:val="32"/>
          <w:szCs w:val="32"/>
        </w:rPr>
      </w:pPr>
      <w:r>
        <w:rPr>
          <w:rFonts w:ascii="宋体" w:eastAsia="宋体" w:hAnsi="宋体" w:cs="宋体" w:hint="eastAsia"/>
          <w:sz w:val="32"/>
          <w:szCs w:val="32"/>
        </w:rPr>
        <w:t>前期准备</w:t>
      </w:r>
    </w:p>
    <w:p w14:paraId="1EAF6503" w14:textId="77777777" w:rsidR="004230E6" w:rsidRDefault="00000000">
      <w:pPr>
        <w:pStyle w:val="af3"/>
        <w:spacing w:line="360" w:lineRule="auto"/>
        <w:ind w:left="0" w:firstLineChars="200" w:firstLine="640"/>
        <w:jc w:val="left"/>
        <w:rPr>
          <w:rFonts w:ascii="宋体" w:eastAsia="宋体" w:hAnsi="宋体" w:cs="宋体" w:hint="eastAsia"/>
          <w:sz w:val="32"/>
          <w:szCs w:val="32"/>
        </w:rPr>
      </w:pPr>
      <w:r>
        <w:rPr>
          <w:rFonts w:ascii="宋体" w:eastAsia="宋体" w:hAnsi="宋体" w:cs="宋体" w:hint="eastAsia"/>
          <w:sz w:val="32"/>
          <w:szCs w:val="32"/>
        </w:rPr>
        <w:t>项目启动后，系统开展植物苗期耐盐筛选技术相关调研，梳理国内盐碱地植物筛选、抗性评价相关技术方法、行业规范及现有标准短板，明确本次技术规范编制的目标、适用范围、技术框架，确定技术规范编制整体思路与工作方案。</w:t>
      </w:r>
    </w:p>
    <w:p w14:paraId="49C2E5CD" w14:textId="77777777" w:rsidR="004230E6" w:rsidRDefault="00000000">
      <w:pPr>
        <w:pStyle w:val="af3"/>
        <w:numPr>
          <w:ilvl w:val="0"/>
          <w:numId w:val="4"/>
        </w:numPr>
        <w:spacing w:line="360" w:lineRule="auto"/>
        <w:jc w:val="left"/>
        <w:rPr>
          <w:rFonts w:ascii="宋体" w:eastAsia="宋体" w:hAnsi="宋体" w:cs="宋体" w:hint="eastAsia"/>
          <w:sz w:val="32"/>
          <w:szCs w:val="32"/>
        </w:rPr>
      </w:pPr>
      <w:r>
        <w:rPr>
          <w:rFonts w:ascii="宋体" w:eastAsia="宋体" w:hAnsi="宋体" w:cs="宋体" w:hint="eastAsia"/>
          <w:sz w:val="32"/>
          <w:szCs w:val="32"/>
        </w:rPr>
        <w:t>成立起草小组</w:t>
      </w:r>
    </w:p>
    <w:p w14:paraId="54F6CEC6" w14:textId="77777777" w:rsidR="004230E6" w:rsidRDefault="00000000">
      <w:pPr>
        <w:spacing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标准起草单位为中国科学院遗传与发育生物学研究所牵头，负责标准方案的设计、调研、资料收集、标准起草、专家意见汇总、资料的分析与整理等；中国科学院西北生态环境资源研究院、中国科学院新疆生态与地理研究所、内蒙古自治区农牧业科学院、东北林业大学等协作参加。主要起草人及分工见表2：</w:t>
      </w:r>
    </w:p>
    <w:p w14:paraId="1B6771F3" w14:textId="73696A5F" w:rsidR="004230E6" w:rsidRDefault="00000000">
      <w:pPr>
        <w:pStyle w:val="af7"/>
        <w:spacing w:beforeLines="50" w:before="156" w:afterLines="50" w:after="156"/>
        <w:rPr>
          <w:rFonts w:ascii="宋体" w:eastAsia="宋体" w:hAnsi="宋体" w:cs="宋体" w:hint="eastAsia"/>
          <w:kern w:val="2"/>
          <w:sz w:val="32"/>
          <w:szCs w:val="32"/>
          <w14:ligatures w14:val="standardContextual"/>
        </w:rPr>
      </w:pPr>
      <w:r>
        <w:rPr>
          <w:rFonts w:ascii="宋体" w:eastAsia="宋体" w:hAnsi="宋体" w:cs="宋体" w:hint="eastAsia"/>
          <w:kern w:val="2"/>
          <w:sz w:val="32"/>
          <w:szCs w:val="32"/>
          <w14:ligatures w14:val="standardContextual"/>
        </w:rPr>
        <w:t>表2 标准起草单位和起草人任务分工</w:t>
      </w:r>
    </w:p>
    <w:tbl>
      <w:tblPr>
        <w:tblStyle w:val="ae"/>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4134"/>
        <w:gridCol w:w="3017"/>
      </w:tblGrid>
      <w:tr w:rsidR="004230E6" w14:paraId="12BB82C1" w14:textId="77777777">
        <w:trPr>
          <w:trHeight w:val="368"/>
          <w:jc w:val="center"/>
        </w:trPr>
        <w:tc>
          <w:tcPr>
            <w:tcW w:w="683" w:type="pct"/>
            <w:vAlign w:val="center"/>
          </w:tcPr>
          <w:p w14:paraId="6A8B3FF5" w14:textId="77777777" w:rsidR="004230E6" w:rsidRDefault="00000000">
            <w:pPr>
              <w:pStyle w:val="af3"/>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姓  名</w:t>
            </w:r>
          </w:p>
        </w:tc>
        <w:tc>
          <w:tcPr>
            <w:tcW w:w="2495" w:type="pct"/>
            <w:vAlign w:val="center"/>
          </w:tcPr>
          <w:p w14:paraId="7B217B2F" w14:textId="77777777" w:rsidR="004230E6" w:rsidRDefault="00000000">
            <w:pPr>
              <w:pStyle w:val="af3"/>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单  位</w:t>
            </w:r>
          </w:p>
        </w:tc>
        <w:tc>
          <w:tcPr>
            <w:tcW w:w="1821" w:type="pct"/>
            <w:vAlign w:val="center"/>
          </w:tcPr>
          <w:p w14:paraId="4E7FAA77" w14:textId="77777777" w:rsidR="004230E6" w:rsidRDefault="00000000">
            <w:pPr>
              <w:pStyle w:val="af3"/>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承担工作</w:t>
            </w:r>
          </w:p>
        </w:tc>
      </w:tr>
      <w:tr w:rsidR="004230E6" w14:paraId="4D60677A" w14:textId="77777777">
        <w:trPr>
          <w:trHeight w:val="515"/>
          <w:jc w:val="center"/>
        </w:trPr>
        <w:tc>
          <w:tcPr>
            <w:tcW w:w="683" w:type="pct"/>
            <w:vAlign w:val="center"/>
          </w:tcPr>
          <w:p w14:paraId="3E93F2B1" w14:textId="77777777" w:rsidR="004230E6" w:rsidRDefault="00000000">
            <w:pPr>
              <w:pStyle w:val="af3"/>
              <w:spacing w:line="360" w:lineRule="auto"/>
              <w:ind w:left="0"/>
              <w:jc w:val="left"/>
              <w:rPr>
                <w:rFonts w:eastAsia="宋体" w:hint="eastAsia"/>
                <w:sz w:val="24"/>
                <w:szCs w:val="24"/>
              </w:rPr>
            </w:pPr>
            <w:r>
              <w:rPr>
                <w:rFonts w:ascii="宋体" w:eastAsia="宋体" w:hAnsi="宋体" w:cs="宋体" w:hint="eastAsia"/>
                <w:sz w:val="24"/>
                <w:szCs w:val="24"/>
              </w:rPr>
              <w:t>杨宝军</w:t>
            </w:r>
          </w:p>
        </w:tc>
        <w:tc>
          <w:tcPr>
            <w:tcW w:w="2495" w:type="pct"/>
            <w:vAlign w:val="center"/>
          </w:tcPr>
          <w:p w14:paraId="4CD23C34" w14:textId="77777777" w:rsidR="004230E6" w:rsidRDefault="00000000">
            <w:pPr>
              <w:pStyle w:val="af3"/>
              <w:spacing w:line="360" w:lineRule="auto"/>
              <w:ind w:left="0"/>
              <w:jc w:val="left"/>
              <w:rPr>
                <w:rFonts w:eastAsia="宋体" w:hint="eastAsia"/>
                <w:sz w:val="24"/>
                <w:szCs w:val="24"/>
              </w:rPr>
            </w:pPr>
            <w:r>
              <w:rPr>
                <w:rFonts w:ascii="宋体" w:eastAsia="宋体" w:hAnsi="宋体" w:cs="宋体" w:hint="eastAsia"/>
                <w:sz w:val="24"/>
                <w:szCs w:val="24"/>
              </w:rPr>
              <w:t>中国科学院遗传与发育生物学研究所</w:t>
            </w:r>
          </w:p>
        </w:tc>
        <w:tc>
          <w:tcPr>
            <w:tcW w:w="1821" w:type="pct"/>
          </w:tcPr>
          <w:p w14:paraId="385C70CE" w14:textId="77777777" w:rsidR="004230E6" w:rsidRDefault="00000000">
            <w:pPr>
              <w:pStyle w:val="af3"/>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总体设计</w:t>
            </w:r>
          </w:p>
        </w:tc>
      </w:tr>
      <w:tr w:rsidR="004230E6" w14:paraId="58ADBAA9" w14:textId="77777777">
        <w:trPr>
          <w:trHeight w:val="567"/>
          <w:jc w:val="center"/>
        </w:trPr>
        <w:tc>
          <w:tcPr>
            <w:tcW w:w="683" w:type="pct"/>
          </w:tcPr>
          <w:p w14:paraId="066E8898" w14:textId="77777777" w:rsidR="004230E6" w:rsidRDefault="00000000">
            <w:pPr>
              <w:pStyle w:val="af3"/>
              <w:ind w:left="0"/>
              <w:rPr>
                <w:rFonts w:ascii="宋体" w:eastAsia="宋体" w:hAnsi="宋体" w:cs="宋体" w:hint="eastAsia"/>
                <w:sz w:val="24"/>
                <w:szCs w:val="24"/>
              </w:rPr>
            </w:pPr>
            <w:r>
              <w:rPr>
                <w:rFonts w:ascii="宋体" w:eastAsia="宋体" w:hAnsi="宋体" w:cs="宋体" w:hint="eastAsia"/>
                <w:sz w:val="24"/>
                <w:szCs w:val="24"/>
              </w:rPr>
              <w:t>范敬伟</w:t>
            </w:r>
          </w:p>
        </w:tc>
        <w:tc>
          <w:tcPr>
            <w:tcW w:w="2495" w:type="pct"/>
          </w:tcPr>
          <w:p w14:paraId="597AD774" w14:textId="77777777" w:rsidR="004230E6" w:rsidRDefault="00000000">
            <w:pPr>
              <w:pStyle w:val="af3"/>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中国科学院遗传与发育生物学研究所</w:t>
            </w:r>
          </w:p>
        </w:tc>
        <w:tc>
          <w:tcPr>
            <w:tcW w:w="1821" w:type="pct"/>
          </w:tcPr>
          <w:p w14:paraId="58A86BBC" w14:textId="77777777" w:rsidR="004230E6" w:rsidRDefault="00000000">
            <w:pPr>
              <w:rPr>
                <w:rFonts w:hint="eastAsia"/>
                <w:sz w:val="24"/>
                <w:szCs w:val="24"/>
              </w:rPr>
            </w:pPr>
            <w:r>
              <w:rPr>
                <w:rFonts w:ascii="宋体" w:eastAsia="宋体" w:hAnsi="宋体" w:cs="宋体" w:hint="eastAsia"/>
                <w:sz w:val="24"/>
                <w:szCs w:val="24"/>
              </w:rPr>
              <w:t>文本撰写试验验证</w:t>
            </w:r>
          </w:p>
          <w:p w14:paraId="5039E908" w14:textId="77777777" w:rsidR="004230E6" w:rsidRDefault="004230E6">
            <w:pPr>
              <w:pStyle w:val="af3"/>
              <w:spacing w:line="360" w:lineRule="auto"/>
              <w:ind w:left="0"/>
              <w:jc w:val="left"/>
              <w:rPr>
                <w:rFonts w:ascii="宋体" w:eastAsia="宋体" w:hAnsi="宋体" w:cs="宋体" w:hint="eastAsia"/>
                <w:sz w:val="24"/>
                <w:szCs w:val="24"/>
              </w:rPr>
            </w:pPr>
          </w:p>
        </w:tc>
      </w:tr>
      <w:tr w:rsidR="004230E6" w14:paraId="7B0CE0B1" w14:textId="77777777">
        <w:trPr>
          <w:trHeight w:val="567"/>
          <w:jc w:val="center"/>
        </w:trPr>
        <w:tc>
          <w:tcPr>
            <w:tcW w:w="683" w:type="pct"/>
          </w:tcPr>
          <w:p w14:paraId="1BDECEAC" w14:textId="77777777" w:rsidR="004230E6" w:rsidRDefault="00000000">
            <w:pPr>
              <w:spacing w:line="360" w:lineRule="auto"/>
              <w:jc w:val="left"/>
              <w:rPr>
                <w:rStyle w:val="2SimSun"/>
                <w:rFonts w:eastAsia="宋体" w:hint="eastAsia"/>
                <w:spacing w:val="0"/>
                <w:sz w:val="24"/>
                <w:szCs w:val="24"/>
              </w:rPr>
            </w:pPr>
            <w:r>
              <w:rPr>
                <w:rFonts w:ascii="宋体" w:eastAsia="宋体" w:hAnsi="宋体" w:cs="宋体" w:hint="eastAsia"/>
                <w:sz w:val="24"/>
                <w:szCs w:val="24"/>
              </w:rPr>
              <w:lastRenderedPageBreak/>
              <w:t>唐丁</w:t>
            </w:r>
          </w:p>
        </w:tc>
        <w:tc>
          <w:tcPr>
            <w:tcW w:w="2495" w:type="pct"/>
          </w:tcPr>
          <w:p w14:paraId="4DAB57D4"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821" w:type="pct"/>
          </w:tcPr>
          <w:p w14:paraId="41553476" w14:textId="77777777" w:rsidR="004230E6" w:rsidRDefault="00000000">
            <w:pPr>
              <w:rPr>
                <w:rFonts w:hint="eastAsia"/>
                <w:sz w:val="24"/>
                <w:szCs w:val="24"/>
              </w:rPr>
            </w:pPr>
            <w:r>
              <w:rPr>
                <w:rFonts w:ascii="宋体" w:eastAsia="宋体" w:hAnsi="宋体" w:cs="宋体" w:hint="eastAsia"/>
                <w:sz w:val="24"/>
                <w:szCs w:val="24"/>
              </w:rPr>
              <w:t>标准修订</w:t>
            </w:r>
          </w:p>
          <w:p w14:paraId="7CCA618A" w14:textId="77777777" w:rsidR="004230E6" w:rsidRDefault="004230E6">
            <w:pPr>
              <w:pStyle w:val="af3"/>
              <w:spacing w:line="360" w:lineRule="auto"/>
              <w:ind w:left="0"/>
              <w:jc w:val="left"/>
              <w:rPr>
                <w:rStyle w:val="2SimSun"/>
                <w:rFonts w:eastAsia="宋体" w:hint="eastAsia"/>
                <w:spacing w:val="0"/>
                <w:sz w:val="24"/>
                <w:szCs w:val="24"/>
              </w:rPr>
            </w:pPr>
          </w:p>
        </w:tc>
      </w:tr>
      <w:tr w:rsidR="004230E6" w14:paraId="32AB4D9B" w14:textId="77777777">
        <w:trPr>
          <w:trHeight w:val="567"/>
          <w:jc w:val="center"/>
        </w:trPr>
        <w:tc>
          <w:tcPr>
            <w:tcW w:w="683" w:type="pct"/>
          </w:tcPr>
          <w:p w14:paraId="3814E65B"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潘晶</w:t>
            </w:r>
          </w:p>
        </w:tc>
        <w:tc>
          <w:tcPr>
            <w:tcW w:w="2495" w:type="pct"/>
          </w:tcPr>
          <w:p w14:paraId="14D5F4D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中国科学院西北生态环境资源研究院</w:t>
            </w:r>
          </w:p>
        </w:tc>
        <w:tc>
          <w:tcPr>
            <w:tcW w:w="1821" w:type="pct"/>
          </w:tcPr>
          <w:p w14:paraId="6F1FD13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标准修订</w:t>
            </w:r>
          </w:p>
        </w:tc>
      </w:tr>
      <w:tr w:rsidR="004230E6" w14:paraId="38905B3E" w14:textId="77777777">
        <w:trPr>
          <w:trHeight w:val="567"/>
          <w:jc w:val="center"/>
        </w:trPr>
        <w:tc>
          <w:tcPr>
            <w:tcW w:w="683" w:type="pct"/>
          </w:tcPr>
          <w:p w14:paraId="70CD068D"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刘华威</w:t>
            </w:r>
          </w:p>
        </w:tc>
        <w:tc>
          <w:tcPr>
            <w:tcW w:w="2495" w:type="pct"/>
          </w:tcPr>
          <w:p w14:paraId="048147DC"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中国科学院新疆生态与地理研究所</w:t>
            </w:r>
          </w:p>
        </w:tc>
        <w:tc>
          <w:tcPr>
            <w:tcW w:w="1821" w:type="pct"/>
          </w:tcPr>
          <w:p w14:paraId="6EAE877B"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标准修订</w:t>
            </w:r>
          </w:p>
        </w:tc>
      </w:tr>
      <w:tr w:rsidR="004230E6" w14:paraId="54D2B082" w14:textId="77777777">
        <w:trPr>
          <w:trHeight w:val="567"/>
          <w:jc w:val="center"/>
        </w:trPr>
        <w:tc>
          <w:tcPr>
            <w:tcW w:w="683" w:type="pct"/>
          </w:tcPr>
          <w:p w14:paraId="1509202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邱晓</w:t>
            </w:r>
          </w:p>
        </w:tc>
        <w:tc>
          <w:tcPr>
            <w:tcW w:w="2495" w:type="pct"/>
          </w:tcPr>
          <w:p w14:paraId="1A246991"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内蒙古自治区农牧业科学院</w:t>
            </w:r>
          </w:p>
        </w:tc>
        <w:tc>
          <w:tcPr>
            <w:tcW w:w="1821" w:type="pct"/>
          </w:tcPr>
          <w:p w14:paraId="01F2A5E3"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资料收集</w:t>
            </w:r>
          </w:p>
        </w:tc>
      </w:tr>
      <w:tr w:rsidR="004230E6" w14:paraId="2CCF2728" w14:textId="77777777">
        <w:trPr>
          <w:trHeight w:val="567"/>
          <w:jc w:val="center"/>
        </w:trPr>
        <w:tc>
          <w:tcPr>
            <w:tcW w:w="683" w:type="pct"/>
          </w:tcPr>
          <w:p w14:paraId="31CA4A2A"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管清杰</w:t>
            </w:r>
          </w:p>
        </w:tc>
        <w:tc>
          <w:tcPr>
            <w:tcW w:w="2495" w:type="pct"/>
          </w:tcPr>
          <w:p w14:paraId="388BFD0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东北林业大学</w:t>
            </w:r>
          </w:p>
        </w:tc>
        <w:tc>
          <w:tcPr>
            <w:tcW w:w="1821" w:type="pct"/>
          </w:tcPr>
          <w:p w14:paraId="6D77ED15"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资料收集</w:t>
            </w:r>
          </w:p>
        </w:tc>
      </w:tr>
      <w:tr w:rsidR="004230E6" w14:paraId="29B0C545" w14:textId="77777777">
        <w:trPr>
          <w:trHeight w:val="567"/>
          <w:jc w:val="center"/>
        </w:trPr>
        <w:tc>
          <w:tcPr>
            <w:tcW w:w="683" w:type="pct"/>
          </w:tcPr>
          <w:p w14:paraId="221DEBF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王鹏程</w:t>
            </w:r>
          </w:p>
        </w:tc>
        <w:tc>
          <w:tcPr>
            <w:tcW w:w="2495" w:type="pct"/>
          </w:tcPr>
          <w:p w14:paraId="70F34D88"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821" w:type="pct"/>
          </w:tcPr>
          <w:p w14:paraId="40F24794"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试验验证</w:t>
            </w:r>
          </w:p>
        </w:tc>
      </w:tr>
      <w:tr w:rsidR="004230E6" w14:paraId="5B79BC6E" w14:textId="77777777">
        <w:trPr>
          <w:trHeight w:val="567"/>
          <w:jc w:val="center"/>
        </w:trPr>
        <w:tc>
          <w:tcPr>
            <w:tcW w:w="683" w:type="pct"/>
          </w:tcPr>
          <w:p w14:paraId="7D8CACFF"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李依莎</w:t>
            </w:r>
          </w:p>
        </w:tc>
        <w:tc>
          <w:tcPr>
            <w:tcW w:w="2495" w:type="pct"/>
          </w:tcPr>
          <w:p w14:paraId="18D5B70A"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821" w:type="pct"/>
          </w:tcPr>
          <w:p w14:paraId="59DBAC9C" w14:textId="77777777" w:rsidR="004230E6" w:rsidRDefault="00000000">
            <w:pPr>
              <w:pStyle w:val="af3"/>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试验验证</w:t>
            </w:r>
          </w:p>
        </w:tc>
      </w:tr>
    </w:tbl>
    <w:p w14:paraId="683EA70B" w14:textId="77777777" w:rsidR="004230E6" w:rsidRDefault="004230E6">
      <w:pPr>
        <w:spacing w:line="360" w:lineRule="auto"/>
        <w:rPr>
          <w:rFonts w:hint="eastAsia"/>
          <w:kern w:val="0"/>
          <w:sz w:val="24"/>
          <w:szCs w:val="24"/>
          <w:highlight w:val="yellow"/>
        </w:rPr>
      </w:pPr>
    </w:p>
    <w:p w14:paraId="469B3E17" w14:textId="77777777" w:rsidR="004230E6" w:rsidRDefault="00000000">
      <w:pPr>
        <w:numPr>
          <w:ilvl w:val="0"/>
          <w:numId w:val="4"/>
        </w:num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资料收集与分析</w:t>
      </w:r>
    </w:p>
    <w:p w14:paraId="4CA9E42D"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广泛收集国内植物耐盐鉴定、抗性评价相关标准、行业标准、学术文献、技术规范及试验研究成果，对比分析现有技术方法的优缺点及适用场景，梳理可借鉴的核心技术指标与试验方法，为技术规范编制提供理论支撑。</w:t>
      </w:r>
    </w:p>
    <w:p w14:paraId="2CA37ACD" w14:textId="77777777" w:rsidR="004230E6" w:rsidRDefault="00000000">
      <w:pPr>
        <w:pStyle w:val="af3"/>
        <w:widowControl/>
        <w:numPr>
          <w:ilvl w:val="0"/>
          <w:numId w:val="4"/>
        </w:numPr>
        <w:spacing w:line="360" w:lineRule="auto"/>
        <w:jc w:val="left"/>
        <w:rPr>
          <w:rFonts w:ascii="宋体" w:eastAsia="宋体" w:hAnsi="宋体" w:cs="宋体" w:hint="eastAsia"/>
          <w:sz w:val="32"/>
          <w:szCs w:val="32"/>
        </w:rPr>
      </w:pPr>
      <w:r>
        <w:rPr>
          <w:rFonts w:ascii="宋体" w:eastAsia="宋体" w:hAnsi="宋体" w:cs="宋体" w:hint="eastAsia"/>
          <w:sz w:val="32"/>
          <w:szCs w:val="32"/>
        </w:rPr>
        <w:t>草案编制与内部论证</w:t>
      </w:r>
    </w:p>
    <w:p w14:paraId="16AAC5E5" w14:textId="77777777" w:rsidR="004230E6" w:rsidRDefault="00000000">
      <w:pPr>
        <w:widowControl/>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结合前期调研成果、试验数据及行业技术规范，完成《</w:t>
      </w:r>
      <w:r>
        <w:rPr>
          <w:rFonts w:ascii="宋体" w:eastAsia="宋体" w:hAnsi="宋体" w:cs="宋体"/>
          <w:sz w:val="32"/>
          <w:szCs w:val="32"/>
        </w:rPr>
        <w:t>植物室内苗期耐盐性鉴定技术规范</w:t>
      </w:r>
      <w:r>
        <w:rPr>
          <w:rFonts w:ascii="宋体" w:eastAsia="宋体" w:hAnsi="宋体" w:cs="宋体" w:hint="eastAsia"/>
          <w:sz w:val="32"/>
          <w:szCs w:val="32"/>
        </w:rPr>
        <w:t>》初稿编制。组织起草小组内部开展多轮研讨、技术论证，针对筛选指标、试验方法、处理浓度、鉴定时期、数据统计、评价判定标准等核心内容进行校核，完善技术内容，形成技术规范征求意见稿。</w:t>
      </w:r>
    </w:p>
    <w:p w14:paraId="3076973E" w14:textId="77777777" w:rsidR="004230E6" w:rsidRDefault="00000000">
      <w:pPr>
        <w:pStyle w:val="af3"/>
        <w:numPr>
          <w:ilvl w:val="0"/>
          <w:numId w:val="4"/>
        </w:numPr>
        <w:spacing w:line="360" w:lineRule="auto"/>
        <w:jc w:val="left"/>
        <w:rPr>
          <w:rFonts w:ascii="宋体" w:eastAsia="宋体" w:hAnsi="宋体" w:cs="宋体" w:hint="eastAsia"/>
          <w:sz w:val="32"/>
          <w:szCs w:val="32"/>
        </w:rPr>
      </w:pPr>
      <w:r>
        <w:rPr>
          <w:rFonts w:ascii="宋体" w:eastAsia="宋体" w:hAnsi="宋体" w:cs="宋体" w:hint="eastAsia"/>
          <w:sz w:val="32"/>
          <w:szCs w:val="32"/>
        </w:rPr>
        <w:t>征求意见与修改完善</w:t>
      </w:r>
    </w:p>
    <w:p w14:paraId="5094F014" w14:textId="77777777" w:rsidR="004230E6" w:rsidRDefault="00000000">
      <w:pPr>
        <w:spacing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lastRenderedPageBreak/>
        <w:t>面向专项课题内一线试验技术人员广泛征求意见，汇总梳理各方修改建议，结合试验验证结果对技术规范文本、技术参数、操作流程进行修改完善，进一步提升技术规范的科学性、规范性、实操性，最终形成技术规范报批稿。</w:t>
      </w:r>
    </w:p>
    <w:p w14:paraId="7CCAFED6"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7" w:name="_Toc203050990"/>
      <w:bookmarkStart w:id="8" w:name="_Toc213659364"/>
      <w:bookmarkStart w:id="9" w:name="_Toc203050423"/>
      <w:r>
        <w:rPr>
          <w:rFonts w:ascii="宋体" w:eastAsia="宋体" w:hAnsi="宋体" w:cs="宋体" w:hint="eastAsia"/>
          <w:b/>
          <w:bCs/>
          <w:kern w:val="44"/>
          <w:sz w:val="28"/>
          <w:szCs w:val="44"/>
        </w:rPr>
        <w:t>制定（修订）标准的原则和依据，与现行法律、法规、标准的关系</w:t>
      </w:r>
      <w:bookmarkEnd w:id="7"/>
      <w:bookmarkEnd w:id="8"/>
      <w:bookmarkEnd w:id="9"/>
    </w:p>
    <w:p w14:paraId="129F5434" w14:textId="77777777" w:rsidR="004230E6" w:rsidRDefault="00000000">
      <w:pPr>
        <w:pStyle w:val="af3"/>
        <w:spacing w:line="360" w:lineRule="auto"/>
        <w:ind w:left="0"/>
        <w:jc w:val="left"/>
        <w:rPr>
          <w:rFonts w:ascii="宋体" w:eastAsia="宋体" w:hAnsi="宋体" w:cs="宋体" w:hint="eastAsia"/>
          <w:sz w:val="32"/>
          <w:szCs w:val="32"/>
        </w:rPr>
      </w:pPr>
      <w:r>
        <w:rPr>
          <w:rFonts w:ascii="宋体" w:eastAsia="宋体" w:hAnsi="宋体" w:cs="宋体" w:hint="eastAsia"/>
          <w:sz w:val="32"/>
          <w:szCs w:val="32"/>
        </w:rPr>
        <w:t>1. 编制原则：遵循科学性、实用性、规范性、统一性原则，立足盐碱地植物筛选实际需求，试验操作规范，技术指标严谨、流程清晰、可操作性强，符合农业标准化发展要求。</w:t>
      </w:r>
    </w:p>
    <w:p w14:paraId="056DF722" w14:textId="77777777" w:rsidR="004230E6" w:rsidRDefault="00000000">
      <w:pPr>
        <w:pStyle w:val="af3"/>
        <w:spacing w:line="360" w:lineRule="auto"/>
        <w:ind w:left="0"/>
        <w:jc w:val="left"/>
        <w:rPr>
          <w:rFonts w:ascii="宋体" w:eastAsia="宋体" w:hAnsi="宋体" w:cs="宋体" w:hint="eastAsia"/>
          <w:sz w:val="32"/>
          <w:szCs w:val="32"/>
        </w:rPr>
      </w:pPr>
      <w:r>
        <w:rPr>
          <w:rFonts w:ascii="宋体" w:eastAsia="宋体" w:hAnsi="宋体" w:cs="宋体" w:hint="eastAsia"/>
          <w:sz w:val="32"/>
          <w:szCs w:val="32"/>
        </w:rPr>
        <w:t>2. 编制依据：依据《中华人民共和国标准化法》及农业行业标准编制准则编制。</w:t>
      </w:r>
    </w:p>
    <w:p w14:paraId="66AE7538" w14:textId="77777777" w:rsidR="004230E6" w:rsidRDefault="00000000">
      <w:pPr>
        <w:pStyle w:val="af3"/>
        <w:spacing w:line="360" w:lineRule="auto"/>
        <w:ind w:left="0"/>
        <w:jc w:val="left"/>
        <w:rPr>
          <w:rFonts w:ascii="宋体" w:eastAsia="宋体" w:hAnsi="宋体" w:cs="宋体" w:hint="eastAsia"/>
          <w:sz w:val="32"/>
          <w:szCs w:val="32"/>
        </w:rPr>
      </w:pPr>
      <w:r>
        <w:rPr>
          <w:rFonts w:ascii="宋体" w:eastAsia="宋体" w:hAnsi="宋体" w:cs="宋体" w:hint="eastAsia"/>
          <w:sz w:val="32"/>
          <w:szCs w:val="32"/>
        </w:rPr>
        <w:t>3. 与现行法规标准关系：本技术规范内容与现行国家法律、行政法规、农业行业标准无冲突，是对现有植物耐盐碱评价技术体系的细化、补充和完善，填补植物苗期耐碱筛选专项技术标准空白。</w:t>
      </w:r>
    </w:p>
    <w:p w14:paraId="4DD3C314"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10" w:name="_Toc203050991"/>
      <w:bookmarkStart w:id="11" w:name="_Toc213659365"/>
      <w:bookmarkStart w:id="12" w:name="_Toc203050424"/>
      <w:r>
        <w:rPr>
          <w:rFonts w:ascii="宋体" w:eastAsia="宋体" w:hAnsi="宋体" w:cs="宋体" w:hint="eastAsia"/>
          <w:b/>
          <w:bCs/>
          <w:kern w:val="44"/>
          <w:sz w:val="28"/>
          <w:szCs w:val="44"/>
        </w:rPr>
        <w:t>主要技术内容的确定依据</w:t>
      </w:r>
      <w:bookmarkEnd w:id="10"/>
      <w:bookmarkEnd w:id="11"/>
      <w:bookmarkEnd w:id="12"/>
    </w:p>
    <w:p w14:paraId="4FEFB905" w14:textId="77777777" w:rsidR="004230E6" w:rsidRDefault="00000000">
      <w:pPr>
        <w:pStyle w:val="af3"/>
        <w:spacing w:line="360" w:lineRule="auto"/>
        <w:ind w:left="0" w:firstLineChars="200" w:firstLine="640"/>
        <w:jc w:val="left"/>
        <w:rPr>
          <w:rFonts w:ascii="宋体" w:eastAsia="宋体" w:hAnsi="宋体" w:cs="宋体" w:hint="eastAsia"/>
          <w:sz w:val="32"/>
          <w:szCs w:val="32"/>
        </w:rPr>
      </w:pPr>
      <w:r>
        <w:rPr>
          <w:rFonts w:ascii="宋体" w:eastAsia="宋体" w:hAnsi="宋体" w:cs="宋体" w:hint="eastAsia"/>
          <w:sz w:val="32"/>
          <w:szCs w:val="32"/>
        </w:rPr>
        <w:t>该技术规范核心技术内容均依托苗期筛选试验数据确定，结合植物生长发育规律、盐胁迫响应特征，同时参考国内植物抗逆筛选相关文献试验方法及行业公认评价指标。其中，盐胁迫处理浓度、筛选时期、观测指标、判定</w:t>
      </w:r>
      <w:r>
        <w:rPr>
          <w:rFonts w:ascii="宋体" w:eastAsia="宋体" w:hAnsi="宋体" w:cs="宋体" w:hint="eastAsia"/>
          <w:sz w:val="32"/>
          <w:szCs w:val="32"/>
        </w:rPr>
        <w:lastRenderedPageBreak/>
        <w:t>标准等核心内容，均经过试验验证，确保技术内容科学准确、稳定可靠、适配实际推广应用。</w:t>
      </w:r>
    </w:p>
    <w:p w14:paraId="3A99DE17" w14:textId="77777777" w:rsidR="004230E6"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5.1 耐盐筛选方法</w:t>
      </w:r>
    </w:p>
    <w:p w14:paraId="3BE9FA10" w14:textId="77777777" w:rsidR="004230E6"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5.1.1试验材料</w:t>
      </w:r>
    </w:p>
    <w:p w14:paraId="1A2B0C42" w14:textId="77777777" w:rsidR="004230E6" w:rsidRDefault="00000000">
      <w:pPr>
        <w:spacing w:line="360" w:lineRule="auto"/>
        <w:jc w:val="center"/>
        <w:rPr>
          <w:rFonts w:ascii="宋体" w:eastAsia="宋体" w:hAnsi="宋体" w:cs="宋体" w:hint="eastAsia"/>
          <w:sz w:val="32"/>
          <w:szCs w:val="32"/>
        </w:rPr>
      </w:pPr>
      <w:r>
        <w:rPr>
          <w:rFonts w:ascii="宋体" w:eastAsia="宋体" w:hAnsi="宋体" w:cs="宋体" w:hint="eastAsia"/>
          <w:sz w:val="32"/>
          <w:szCs w:val="32"/>
        </w:rPr>
        <w:t>表 1　实验材料清单</w:t>
      </w:r>
    </w:p>
    <w:tbl>
      <w:tblPr>
        <w:tblW w:w="5955" w:type="dxa"/>
        <w:tblInd w:w="93" w:type="dxa"/>
        <w:tblLook w:val="04A0" w:firstRow="1" w:lastRow="0" w:firstColumn="1" w:lastColumn="0" w:noHBand="0" w:noVBand="1"/>
      </w:tblPr>
      <w:tblGrid>
        <w:gridCol w:w="1892"/>
        <w:gridCol w:w="1923"/>
        <w:gridCol w:w="2140"/>
      </w:tblGrid>
      <w:tr w:rsidR="004230E6" w14:paraId="24BB61F9" w14:textId="77777777">
        <w:trPr>
          <w:trHeight w:val="300"/>
        </w:trPr>
        <w:tc>
          <w:tcPr>
            <w:tcW w:w="1892" w:type="dxa"/>
            <w:tcBorders>
              <w:top w:val="single" w:sz="4" w:space="0" w:color="auto"/>
              <w:left w:val="single" w:sz="8" w:space="0" w:color="CCCCCC"/>
              <w:bottom w:val="single" w:sz="4" w:space="0" w:color="auto"/>
              <w:right w:val="single" w:sz="8" w:space="0" w:color="CCCCCC"/>
            </w:tcBorders>
            <w:vAlign w:val="center"/>
          </w:tcPr>
          <w:p w14:paraId="00820EA8" w14:textId="77777777" w:rsidR="004230E6" w:rsidRDefault="00000000">
            <w:pPr>
              <w:widowControl/>
              <w:jc w:val="left"/>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中文名</w:t>
            </w:r>
          </w:p>
        </w:tc>
        <w:tc>
          <w:tcPr>
            <w:tcW w:w="1923" w:type="dxa"/>
            <w:tcBorders>
              <w:top w:val="single" w:sz="4" w:space="0" w:color="auto"/>
              <w:left w:val="nil"/>
              <w:bottom w:val="single" w:sz="4" w:space="0" w:color="auto"/>
              <w:right w:val="single" w:sz="8" w:space="0" w:color="CCCCCC"/>
            </w:tcBorders>
            <w:vAlign w:val="center"/>
          </w:tcPr>
          <w:p w14:paraId="1878EBDF" w14:textId="77777777" w:rsidR="004230E6" w:rsidRDefault="00000000">
            <w:pPr>
              <w:widowControl/>
              <w:jc w:val="left"/>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科</w:t>
            </w:r>
          </w:p>
        </w:tc>
        <w:tc>
          <w:tcPr>
            <w:tcW w:w="2140" w:type="dxa"/>
            <w:tcBorders>
              <w:top w:val="single" w:sz="4" w:space="0" w:color="auto"/>
              <w:left w:val="nil"/>
              <w:bottom w:val="single" w:sz="4" w:space="0" w:color="auto"/>
              <w:right w:val="single" w:sz="8" w:space="0" w:color="CCCCCC"/>
            </w:tcBorders>
            <w:vAlign w:val="center"/>
          </w:tcPr>
          <w:p w14:paraId="71FD7D43" w14:textId="77777777" w:rsidR="004230E6" w:rsidRDefault="00000000">
            <w:pPr>
              <w:widowControl/>
              <w:jc w:val="left"/>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属</w:t>
            </w:r>
          </w:p>
        </w:tc>
      </w:tr>
      <w:tr w:rsidR="004230E6" w14:paraId="7A57C086" w14:textId="77777777">
        <w:trPr>
          <w:trHeight w:val="300"/>
        </w:trPr>
        <w:tc>
          <w:tcPr>
            <w:tcW w:w="1892" w:type="dxa"/>
            <w:tcBorders>
              <w:top w:val="single" w:sz="4" w:space="0" w:color="auto"/>
              <w:left w:val="single" w:sz="8" w:space="0" w:color="CCCCCC"/>
              <w:bottom w:val="single" w:sz="8" w:space="0" w:color="CCCCCC"/>
              <w:right w:val="single" w:sz="8" w:space="0" w:color="CCCCCC"/>
            </w:tcBorders>
            <w:vAlign w:val="center"/>
          </w:tcPr>
          <w:p w14:paraId="43AA5B9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红豆草</w:t>
            </w:r>
          </w:p>
        </w:tc>
        <w:tc>
          <w:tcPr>
            <w:tcW w:w="1923" w:type="dxa"/>
            <w:tcBorders>
              <w:top w:val="single" w:sz="4" w:space="0" w:color="auto"/>
              <w:left w:val="nil"/>
              <w:bottom w:val="single" w:sz="8" w:space="0" w:color="CCCCCC"/>
              <w:right w:val="single" w:sz="8" w:space="0" w:color="CCCCCC"/>
            </w:tcBorders>
            <w:vAlign w:val="center"/>
          </w:tcPr>
          <w:p w14:paraId="7989347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single" w:sz="4" w:space="0" w:color="auto"/>
              <w:left w:val="nil"/>
              <w:bottom w:val="single" w:sz="8" w:space="0" w:color="CCCCCC"/>
              <w:right w:val="single" w:sz="8" w:space="0" w:color="CCCCCC"/>
            </w:tcBorders>
            <w:vAlign w:val="center"/>
          </w:tcPr>
          <w:p w14:paraId="1FAE3C9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红豆属</w:t>
            </w:r>
          </w:p>
        </w:tc>
      </w:tr>
      <w:tr w:rsidR="004230E6" w14:paraId="17DE9228"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1381DA0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苦豆子</w:t>
            </w:r>
          </w:p>
        </w:tc>
        <w:tc>
          <w:tcPr>
            <w:tcW w:w="1923" w:type="dxa"/>
            <w:tcBorders>
              <w:top w:val="nil"/>
              <w:left w:val="nil"/>
              <w:bottom w:val="single" w:sz="8" w:space="0" w:color="CCCCCC"/>
              <w:right w:val="single" w:sz="8" w:space="0" w:color="CCCCCC"/>
            </w:tcBorders>
            <w:vAlign w:val="center"/>
          </w:tcPr>
          <w:p w14:paraId="77970AD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788816C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槐属</w:t>
            </w:r>
          </w:p>
        </w:tc>
      </w:tr>
      <w:tr w:rsidR="004230E6" w14:paraId="730FFC94" w14:textId="77777777">
        <w:trPr>
          <w:trHeight w:val="285"/>
        </w:trPr>
        <w:tc>
          <w:tcPr>
            <w:tcW w:w="1892" w:type="dxa"/>
            <w:tcBorders>
              <w:top w:val="nil"/>
              <w:left w:val="single" w:sz="8" w:space="0" w:color="CCCCCC"/>
              <w:bottom w:val="single" w:sz="8" w:space="0" w:color="CCCCCC"/>
              <w:right w:val="single" w:sz="8" w:space="0" w:color="CCCCCC"/>
            </w:tcBorders>
            <w:vAlign w:val="center"/>
          </w:tcPr>
          <w:p w14:paraId="5099D57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沙打旺</w:t>
            </w:r>
          </w:p>
        </w:tc>
        <w:tc>
          <w:tcPr>
            <w:tcW w:w="1923" w:type="dxa"/>
            <w:tcBorders>
              <w:top w:val="nil"/>
              <w:left w:val="nil"/>
              <w:bottom w:val="single" w:sz="8" w:space="0" w:color="CCCCCC"/>
              <w:right w:val="single" w:sz="8" w:space="0" w:color="CCCCCC"/>
            </w:tcBorders>
            <w:vAlign w:val="center"/>
          </w:tcPr>
          <w:p w14:paraId="389FBE6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6359474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黄芪属</w:t>
            </w:r>
          </w:p>
        </w:tc>
      </w:tr>
      <w:tr w:rsidR="004230E6" w14:paraId="59A94B50" w14:textId="77777777">
        <w:trPr>
          <w:trHeight w:val="176"/>
        </w:trPr>
        <w:tc>
          <w:tcPr>
            <w:tcW w:w="1892" w:type="dxa"/>
            <w:tcBorders>
              <w:top w:val="nil"/>
              <w:left w:val="single" w:sz="8" w:space="0" w:color="CCCCCC"/>
              <w:bottom w:val="single" w:sz="8" w:space="0" w:color="CCCCCC"/>
              <w:right w:val="single" w:sz="8" w:space="0" w:color="CCCCCC"/>
            </w:tcBorders>
            <w:vAlign w:val="center"/>
          </w:tcPr>
          <w:p w14:paraId="4759A3CA"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山毛豆</w:t>
            </w:r>
          </w:p>
        </w:tc>
        <w:tc>
          <w:tcPr>
            <w:tcW w:w="1923" w:type="dxa"/>
            <w:tcBorders>
              <w:top w:val="nil"/>
              <w:left w:val="nil"/>
              <w:bottom w:val="single" w:sz="8" w:space="0" w:color="CCCCCC"/>
              <w:right w:val="single" w:sz="8" w:space="0" w:color="CCCCCC"/>
            </w:tcBorders>
            <w:vAlign w:val="center"/>
          </w:tcPr>
          <w:p w14:paraId="54ED571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303418D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灰叶属</w:t>
            </w:r>
          </w:p>
        </w:tc>
      </w:tr>
      <w:tr w:rsidR="004230E6" w14:paraId="49A4C5D1"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4EBB352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柠条</w:t>
            </w:r>
          </w:p>
        </w:tc>
        <w:tc>
          <w:tcPr>
            <w:tcW w:w="1923" w:type="dxa"/>
            <w:tcBorders>
              <w:top w:val="nil"/>
              <w:left w:val="nil"/>
              <w:bottom w:val="single" w:sz="8" w:space="0" w:color="CCCCCC"/>
              <w:right w:val="single" w:sz="8" w:space="0" w:color="CCCCCC"/>
            </w:tcBorders>
            <w:vAlign w:val="center"/>
          </w:tcPr>
          <w:p w14:paraId="7EF2BAA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40EFC6A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锦鸡儿属</w:t>
            </w:r>
          </w:p>
        </w:tc>
      </w:tr>
      <w:tr w:rsidR="004230E6" w14:paraId="4F559E07"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145B1E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苜蓿</w:t>
            </w:r>
          </w:p>
        </w:tc>
        <w:tc>
          <w:tcPr>
            <w:tcW w:w="1923" w:type="dxa"/>
            <w:tcBorders>
              <w:top w:val="nil"/>
              <w:left w:val="nil"/>
              <w:bottom w:val="single" w:sz="8" w:space="0" w:color="CCCCCC"/>
              <w:right w:val="single" w:sz="8" w:space="0" w:color="CCCCCC"/>
            </w:tcBorders>
            <w:vAlign w:val="center"/>
          </w:tcPr>
          <w:p w14:paraId="79C6AFA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564C7C9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苜蓿属</w:t>
            </w:r>
          </w:p>
        </w:tc>
      </w:tr>
      <w:tr w:rsidR="004230E6" w14:paraId="4C0833A2"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29C4A3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紫花苜蓿</w:t>
            </w:r>
          </w:p>
        </w:tc>
        <w:tc>
          <w:tcPr>
            <w:tcW w:w="1923" w:type="dxa"/>
            <w:tcBorders>
              <w:top w:val="nil"/>
              <w:left w:val="nil"/>
              <w:bottom w:val="single" w:sz="8" w:space="0" w:color="CCCCCC"/>
              <w:right w:val="single" w:sz="8" w:space="0" w:color="CCCCCC"/>
            </w:tcBorders>
            <w:vAlign w:val="center"/>
          </w:tcPr>
          <w:p w14:paraId="60D7C10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5014E0FD"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苜蓿属</w:t>
            </w:r>
          </w:p>
        </w:tc>
      </w:tr>
      <w:tr w:rsidR="004230E6" w14:paraId="4E90F88C"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1B1B30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田菁</w:t>
            </w:r>
          </w:p>
        </w:tc>
        <w:tc>
          <w:tcPr>
            <w:tcW w:w="1923" w:type="dxa"/>
            <w:tcBorders>
              <w:top w:val="nil"/>
              <w:left w:val="nil"/>
              <w:bottom w:val="single" w:sz="8" w:space="0" w:color="CCCCCC"/>
              <w:right w:val="single" w:sz="8" w:space="0" w:color="CCCCCC"/>
            </w:tcBorders>
            <w:vAlign w:val="center"/>
          </w:tcPr>
          <w:p w14:paraId="492D0F7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豆科</w:t>
            </w:r>
          </w:p>
        </w:tc>
        <w:tc>
          <w:tcPr>
            <w:tcW w:w="2140" w:type="dxa"/>
            <w:tcBorders>
              <w:top w:val="nil"/>
              <w:left w:val="nil"/>
              <w:bottom w:val="single" w:sz="8" w:space="0" w:color="CCCCCC"/>
              <w:right w:val="single" w:sz="8" w:space="0" w:color="CCCCCC"/>
            </w:tcBorders>
            <w:vAlign w:val="center"/>
          </w:tcPr>
          <w:p w14:paraId="60B6596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田菁属</w:t>
            </w:r>
          </w:p>
        </w:tc>
      </w:tr>
      <w:tr w:rsidR="004230E6" w14:paraId="4067D039"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A9BDFD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稗谷</w:t>
            </w:r>
          </w:p>
        </w:tc>
        <w:tc>
          <w:tcPr>
            <w:tcW w:w="1923" w:type="dxa"/>
            <w:tcBorders>
              <w:top w:val="nil"/>
              <w:left w:val="nil"/>
              <w:bottom w:val="single" w:sz="8" w:space="0" w:color="CCCCCC"/>
              <w:right w:val="single" w:sz="8" w:space="0" w:color="CCCCCC"/>
            </w:tcBorders>
            <w:vAlign w:val="center"/>
          </w:tcPr>
          <w:p w14:paraId="38E5F6F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693F673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稗属</w:t>
            </w:r>
          </w:p>
        </w:tc>
      </w:tr>
      <w:tr w:rsidR="004230E6" w14:paraId="0CBDA652"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9ABDE5D"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水稗草</w:t>
            </w:r>
          </w:p>
        </w:tc>
        <w:tc>
          <w:tcPr>
            <w:tcW w:w="1923" w:type="dxa"/>
            <w:tcBorders>
              <w:top w:val="nil"/>
              <w:left w:val="nil"/>
              <w:bottom w:val="single" w:sz="8" w:space="0" w:color="CCCCCC"/>
              <w:right w:val="single" w:sz="8" w:space="0" w:color="CCCCCC"/>
            </w:tcBorders>
            <w:vAlign w:val="center"/>
          </w:tcPr>
          <w:p w14:paraId="017E96D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706C7B2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稗属</w:t>
            </w:r>
          </w:p>
        </w:tc>
      </w:tr>
      <w:tr w:rsidR="004230E6" w14:paraId="794ABEE0"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2A24F4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短芒大麦草</w:t>
            </w:r>
          </w:p>
        </w:tc>
        <w:tc>
          <w:tcPr>
            <w:tcW w:w="1923" w:type="dxa"/>
            <w:tcBorders>
              <w:top w:val="nil"/>
              <w:left w:val="nil"/>
              <w:bottom w:val="single" w:sz="8" w:space="0" w:color="CCCCCC"/>
              <w:right w:val="single" w:sz="8" w:space="0" w:color="CCCCCC"/>
            </w:tcBorders>
            <w:vAlign w:val="center"/>
          </w:tcPr>
          <w:p w14:paraId="07C97A6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57692F5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大麦属</w:t>
            </w:r>
          </w:p>
        </w:tc>
      </w:tr>
      <w:tr w:rsidR="004230E6" w14:paraId="500F39B9"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43898B2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水稻</w:t>
            </w:r>
          </w:p>
        </w:tc>
        <w:tc>
          <w:tcPr>
            <w:tcW w:w="1923" w:type="dxa"/>
            <w:tcBorders>
              <w:top w:val="nil"/>
              <w:left w:val="nil"/>
              <w:bottom w:val="single" w:sz="8" w:space="0" w:color="CCCCCC"/>
              <w:right w:val="single" w:sz="8" w:space="0" w:color="CCCCCC"/>
            </w:tcBorders>
            <w:vAlign w:val="center"/>
          </w:tcPr>
          <w:p w14:paraId="0EABAFF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6B8B0A1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稻属</w:t>
            </w:r>
          </w:p>
        </w:tc>
      </w:tr>
      <w:tr w:rsidR="004230E6" w14:paraId="2A3CF769"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326438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高粱</w:t>
            </w:r>
          </w:p>
        </w:tc>
        <w:tc>
          <w:tcPr>
            <w:tcW w:w="1923" w:type="dxa"/>
            <w:tcBorders>
              <w:top w:val="nil"/>
              <w:left w:val="nil"/>
              <w:bottom w:val="single" w:sz="8" w:space="0" w:color="CCCCCC"/>
              <w:right w:val="single" w:sz="8" w:space="0" w:color="CCCCCC"/>
            </w:tcBorders>
            <w:vAlign w:val="center"/>
          </w:tcPr>
          <w:p w14:paraId="1DFA4DC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2687290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高粱属</w:t>
            </w:r>
          </w:p>
        </w:tc>
      </w:tr>
      <w:tr w:rsidR="004230E6" w14:paraId="076FC8D2"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FEC4E2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狗尾草</w:t>
            </w:r>
          </w:p>
        </w:tc>
        <w:tc>
          <w:tcPr>
            <w:tcW w:w="1923" w:type="dxa"/>
            <w:tcBorders>
              <w:top w:val="nil"/>
              <w:left w:val="nil"/>
              <w:bottom w:val="single" w:sz="8" w:space="0" w:color="CCCCCC"/>
              <w:right w:val="single" w:sz="8" w:space="0" w:color="CCCCCC"/>
            </w:tcBorders>
            <w:vAlign w:val="center"/>
          </w:tcPr>
          <w:p w14:paraId="277E6A2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37BA76E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狗尾草属</w:t>
            </w:r>
          </w:p>
        </w:tc>
      </w:tr>
      <w:tr w:rsidR="004230E6" w14:paraId="7AFCEAFF"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677D86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虎尾草</w:t>
            </w:r>
          </w:p>
        </w:tc>
        <w:tc>
          <w:tcPr>
            <w:tcW w:w="1923" w:type="dxa"/>
            <w:tcBorders>
              <w:top w:val="nil"/>
              <w:left w:val="nil"/>
              <w:bottom w:val="single" w:sz="8" w:space="0" w:color="CCCCCC"/>
              <w:right w:val="single" w:sz="8" w:space="0" w:color="CCCCCC"/>
            </w:tcBorders>
            <w:vAlign w:val="center"/>
          </w:tcPr>
          <w:p w14:paraId="1EB60FD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498B2AF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虎尾草属</w:t>
            </w:r>
          </w:p>
        </w:tc>
      </w:tr>
      <w:tr w:rsidR="004230E6" w14:paraId="1E30539C"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3D0369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朝鲜碱茅</w:t>
            </w:r>
          </w:p>
        </w:tc>
        <w:tc>
          <w:tcPr>
            <w:tcW w:w="1923" w:type="dxa"/>
            <w:tcBorders>
              <w:top w:val="nil"/>
              <w:left w:val="nil"/>
              <w:bottom w:val="single" w:sz="8" w:space="0" w:color="CCCCCC"/>
              <w:right w:val="single" w:sz="8" w:space="0" w:color="CCCCCC"/>
            </w:tcBorders>
            <w:vAlign w:val="center"/>
          </w:tcPr>
          <w:p w14:paraId="75CB25B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0D735FD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碱茅属</w:t>
            </w:r>
          </w:p>
        </w:tc>
      </w:tr>
      <w:tr w:rsidR="004230E6" w14:paraId="054DAC82"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3F044A5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星星草</w:t>
            </w:r>
          </w:p>
        </w:tc>
        <w:tc>
          <w:tcPr>
            <w:tcW w:w="1923" w:type="dxa"/>
            <w:tcBorders>
              <w:top w:val="nil"/>
              <w:left w:val="nil"/>
              <w:bottom w:val="single" w:sz="8" w:space="0" w:color="CCCCCC"/>
              <w:right w:val="single" w:sz="8" w:space="0" w:color="CCCCCC"/>
            </w:tcBorders>
            <w:vAlign w:val="center"/>
          </w:tcPr>
          <w:p w14:paraId="22A5783A"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4102038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碱茅属</w:t>
            </w:r>
          </w:p>
        </w:tc>
      </w:tr>
      <w:tr w:rsidR="004230E6" w14:paraId="01F7E0EB"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0FDFAAA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赖草</w:t>
            </w:r>
          </w:p>
        </w:tc>
        <w:tc>
          <w:tcPr>
            <w:tcW w:w="1923" w:type="dxa"/>
            <w:tcBorders>
              <w:top w:val="nil"/>
              <w:left w:val="nil"/>
              <w:bottom w:val="single" w:sz="8" w:space="0" w:color="CCCCCC"/>
              <w:right w:val="single" w:sz="8" w:space="0" w:color="CCCCCC"/>
            </w:tcBorders>
            <w:vAlign w:val="center"/>
          </w:tcPr>
          <w:p w14:paraId="12A1AD3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5F7E0E4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赖草属</w:t>
            </w:r>
          </w:p>
        </w:tc>
      </w:tr>
      <w:tr w:rsidR="004230E6" w14:paraId="1359858C"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1D7C404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羊草</w:t>
            </w:r>
          </w:p>
        </w:tc>
        <w:tc>
          <w:tcPr>
            <w:tcW w:w="1923" w:type="dxa"/>
            <w:tcBorders>
              <w:top w:val="nil"/>
              <w:left w:val="nil"/>
              <w:bottom w:val="single" w:sz="8" w:space="0" w:color="CCCCCC"/>
              <w:right w:val="single" w:sz="8" w:space="0" w:color="CCCCCC"/>
            </w:tcBorders>
            <w:vAlign w:val="center"/>
          </w:tcPr>
          <w:p w14:paraId="42BAEAB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17CC4AAD"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赖草属</w:t>
            </w:r>
          </w:p>
        </w:tc>
      </w:tr>
      <w:tr w:rsidR="004230E6" w14:paraId="48BB4667"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C65164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垂披碱草</w:t>
            </w:r>
          </w:p>
        </w:tc>
        <w:tc>
          <w:tcPr>
            <w:tcW w:w="1923" w:type="dxa"/>
            <w:tcBorders>
              <w:top w:val="nil"/>
              <w:left w:val="nil"/>
              <w:bottom w:val="single" w:sz="8" w:space="0" w:color="CCCCCC"/>
              <w:right w:val="single" w:sz="8" w:space="0" w:color="CCCCCC"/>
            </w:tcBorders>
            <w:vAlign w:val="center"/>
          </w:tcPr>
          <w:p w14:paraId="7D13F05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00F817F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披碱草属</w:t>
            </w:r>
          </w:p>
        </w:tc>
      </w:tr>
      <w:tr w:rsidR="004230E6" w14:paraId="01777C93"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388ACB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肥披碱草</w:t>
            </w:r>
          </w:p>
        </w:tc>
        <w:tc>
          <w:tcPr>
            <w:tcW w:w="1923" w:type="dxa"/>
            <w:tcBorders>
              <w:top w:val="nil"/>
              <w:left w:val="nil"/>
              <w:bottom w:val="single" w:sz="8" w:space="0" w:color="CCCCCC"/>
              <w:right w:val="single" w:sz="8" w:space="0" w:color="CCCCCC"/>
            </w:tcBorders>
            <w:vAlign w:val="center"/>
          </w:tcPr>
          <w:p w14:paraId="3D55EE5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24A5A35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披碱草属</w:t>
            </w:r>
          </w:p>
        </w:tc>
      </w:tr>
      <w:tr w:rsidR="004230E6" w14:paraId="5130F982"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FF2C99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披碱草</w:t>
            </w:r>
          </w:p>
        </w:tc>
        <w:tc>
          <w:tcPr>
            <w:tcW w:w="1923" w:type="dxa"/>
            <w:tcBorders>
              <w:top w:val="nil"/>
              <w:left w:val="nil"/>
              <w:bottom w:val="single" w:sz="8" w:space="0" w:color="CCCCCC"/>
              <w:right w:val="single" w:sz="8" w:space="0" w:color="CCCCCC"/>
            </w:tcBorders>
            <w:vAlign w:val="center"/>
          </w:tcPr>
          <w:p w14:paraId="002BF2C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310CC01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披碱草属</w:t>
            </w:r>
          </w:p>
        </w:tc>
      </w:tr>
      <w:tr w:rsidR="004230E6" w14:paraId="6A4861DC"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EE0D45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紫芒披碱草</w:t>
            </w:r>
          </w:p>
        </w:tc>
        <w:tc>
          <w:tcPr>
            <w:tcW w:w="1923" w:type="dxa"/>
            <w:tcBorders>
              <w:top w:val="nil"/>
              <w:left w:val="nil"/>
              <w:bottom w:val="single" w:sz="8" w:space="0" w:color="CCCCCC"/>
              <w:right w:val="single" w:sz="8" w:space="0" w:color="CCCCCC"/>
            </w:tcBorders>
            <w:vAlign w:val="center"/>
          </w:tcPr>
          <w:p w14:paraId="723E8E2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64DF6C3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披碱草属</w:t>
            </w:r>
          </w:p>
        </w:tc>
      </w:tr>
      <w:tr w:rsidR="004230E6" w14:paraId="7AE418DF"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5DF1ED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小黑麦</w:t>
            </w:r>
          </w:p>
        </w:tc>
        <w:tc>
          <w:tcPr>
            <w:tcW w:w="1923" w:type="dxa"/>
            <w:tcBorders>
              <w:top w:val="nil"/>
              <w:left w:val="nil"/>
              <w:bottom w:val="single" w:sz="8" w:space="0" w:color="CCCCCC"/>
              <w:right w:val="single" w:sz="8" w:space="0" w:color="CCCCCC"/>
            </w:tcBorders>
            <w:vAlign w:val="center"/>
          </w:tcPr>
          <w:p w14:paraId="0BB024B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7F7D098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小黑麦属</w:t>
            </w:r>
          </w:p>
        </w:tc>
      </w:tr>
      <w:tr w:rsidR="004230E6" w14:paraId="382177AB"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1B9B1B2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小麦</w:t>
            </w:r>
          </w:p>
        </w:tc>
        <w:tc>
          <w:tcPr>
            <w:tcW w:w="1923" w:type="dxa"/>
            <w:tcBorders>
              <w:top w:val="nil"/>
              <w:left w:val="nil"/>
              <w:bottom w:val="single" w:sz="8" w:space="0" w:color="CCCCCC"/>
              <w:right w:val="single" w:sz="8" w:space="0" w:color="CCCCCC"/>
            </w:tcBorders>
            <w:vAlign w:val="center"/>
          </w:tcPr>
          <w:p w14:paraId="286C54B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5EFA01B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小麦属</w:t>
            </w:r>
          </w:p>
        </w:tc>
      </w:tr>
      <w:tr w:rsidR="004230E6" w14:paraId="3882B640"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6F8A3F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新麦草</w:t>
            </w:r>
          </w:p>
        </w:tc>
        <w:tc>
          <w:tcPr>
            <w:tcW w:w="1923" w:type="dxa"/>
            <w:tcBorders>
              <w:top w:val="nil"/>
              <w:left w:val="nil"/>
              <w:bottom w:val="single" w:sz="8" w:space="0" w:color="CCCCCC"/>
              <w:right w:val="single" w:sz="8" w:space="0" w:color="CCCCCC"/>
            </w:tcBorders>
            <w:vAlign w:val="center"/>
          </w:tcPr>
          <w:p w14:paraId="3BB6906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65CE5AEA"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新麦草属</w:t>
            </w:r>
          </w:p>
        </w:tc>
      </w:tr>
      <w:tr w:rsidR="004230E6" w14:paraId="76AEDD05"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099676A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偃麦草</w:t>
            </w:r>
          </w:p>
        </w:tc>
        <w:tc>
          <w:tcPr>
            <w:tcW w:w="1923" w:type="dxa"/>
            <w:tcBorders>
              <w:top w:val="nil"/>
              <w:left w:val="nil"/>
              <w:bottom w:val="single" w:sz="8" w:space="0" w:color="CCCCCC"/>
              <w:right w:val="single" w:sz="8" w:space="0" w:color="CCCCCC"/>
            </w:tcBorders>
            <w:vAlign w:val="center"/>
          </w:tcPr>
          <w:p w14:paraId="6C53212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禾本科</w:t>
            </w:r>
          </w:p>
        </w:tc>
        <w:tc>
          <w:tcPr>
            <w:tcW w:w="2140" w:type="dxa"/>
            <w:tcBorders>
              <w:top w:val="nil"/>
              <w:left w:val="nil"/>
              <w:bottom w:val="single" w:sz="8" w:space="0" w:color="CCCCCC"/>
              <w:right w:val="single" w:sz="8" w:space="0" w:color="CCCCCC"/>
            </w:tcBorders>
            <w:vAlign w:val="center"/>
          </w:tcPr>
          <w:p w14:paraId="4C2D0893"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偃麦草属</w:t>
            </w:r>
          </w:p>
        </w:tc>
      </w:tr>
      <w:tr w:rsidR="004230E6" w14:paraId="21297983"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D61FF0E"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骆驼蓬</w:t>
            </w:r>
          </w:p>
        </w:tc>
        <w:tc>
          <w:tcPr>
            <w:tcW w:w="1923" w:type="dxa"/>
            <w:tcBorders>
              <w:top w:val="nil"/>
              <w:left w:val="nil"/>
              <w:bottom w:val="single" w:sz="8" w:space="0" w:color="CCCCCC"/>
              <w:right w:val="single" w:sz="8" w:space="0" w:color="CCCCCC"/>
            </w:tcBorders>
            <w:vAlign w:val="center"/>
          </w:tcPr>
          <w:p w14:paraId="238287D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蒺藜科</w:t>
            </w:r>
          </w:p>
        </w:tc>
        <w:tc>
          <w:tcPr>
            <w:tcW w:w="2140" w:type="dxa"/>
            <w:tcBorders>
              <w:top w:val="nil"/>
              <w:left w:val="nil"/>
              <w:bottom w:val="single" w:sz="8" w:space="0" w:color="CCCCCC"/>
              <w:right w:val="single" w:sz="8" w:space="0" w:color="CCCCCC"/>
            </w:tcBorders>
            <w:vAlign w:val="center"/>
          </w:tcPr>
          <w:p w14:paraId="61A20F1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骆驼蓬属</w:t>
            </w:r>
          </w:p>
        </w:tc>
      </w:tr>
      <w:tr w:rsidR="004230E6" w14:paraId="1A481F5B"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4F276B1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棉花</w:t>
            </w:r>
          </w:p>
        </w:tc>
        <w:tc>
          <w:tcPr>
            <w:tcW w:w="1923" w:type="dxa"/>
            <w:tcBorders>
              <w:top w:val="nil"/>
              <w:left w:val="nil"/>
              <w:bottom w:val="single" w:sz="8" w:space="0" w:color="CCCCCC"/>
              <w:right w:val="single" w:sz="8" w:space="0" w:color="CCCCCC"/>
            </w:tcBorders>
            <w:vAlign w:val="center"/>
          </w:tcPr>
          <w:p w14:paraId="3644E6D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锦葵科</w:t>
            </w:r>
          </w:p>
        </w:tc>
        <w:tc>
          <w:tcPr>
            <w:tcW w:w="2140" w:type="dxa"/>
            <w:tcBorders>
              <w:top w:val="nil"/>
              <w:left w:val="nil"/>
              <w:bottom w:val="single" w:sz="8" w:space="0" w:color="CCCCCC"/>
              <w:right w:val="single" w:sz="8" w:space="0" w:color="CCCCCC"/>
            </w:tcBorders>
            <w:vAlign w:val="center"/>
          </w:tcPr>
          <w:p w14:paraId="0C57AB0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棉属</w:t>
            </w:r>
          </w:p>
        </w:tc>
      </w:tr>
      <w:tr w:rsidR="004230E6" w14:paraId="078562E5"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5BE79F4D"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冷蒿</w:t>
            </w:r>
          </w:p>
        </w:tc>
        <w:tc>
          <w:tcPr>
            <w:tcW w:w="1923" w:type="dxa"/>
            <w:tcBorders>
              <w:top w:val="nil"/>
              <w:left w:val="nil"/>
              <w:bottom w:val="single" w:sz="8" w:space="0" w:color="CCCCCC"/>
              <w:right w:val="single" w:sz="8" w:space="0" w:color="CCCCCC"/>
            </w:tcBorders>
            <w:vAlign w:val="center"/>
          </w:tcPr>
          <w:p w14:paraId="5FD7447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菊科</w:t>
            </w:r>
          </w:p>
        </w:tc>
        <w:tc>
          <w:tcPr>
            <w:tcW w:w="2140" w:type="dxa"/>
            <w:tcBorders>
              <w:top w:val="nil"/>
              <w:left w:val="nil"/>
              <w:bottom w:val="single" w:sz="8" w:space="0" w:color="CCCCCC"/>
              <w:right w:val="single" w:sz="8" w:space="0" w:color="CCCCCC"/>
            </w:tcBorders>
            <w:vAlign w:val="center"/>
          </w:tcPr>
          <w:p w14:paraId="606B180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蒿属</w:t>
            </w:r>
          </w:p>
        </w:tc>
      </w:tr>
      <w:tr w:rsidR="004230E6" w14:paraId="25880FE0"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32F8DF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葵花</w:t>
            </w:r>
          </w:p>
        </w:tc>
        <w:tc>
          <w:tcPr>
            <w:tcW w:w="1923" w:type="dxa"/>
            <w:tcBorders>
              <w:top w:val="nil"/>
              <w:left w:val="nil"/>
              <w:bottom w:val="single" w:sz="8" w:space="0" w:color="CCCCCC"/>
              <w:right w:val="single" w:sz="8" w:space="0" w:color="CCCCCC"/>
            </w:tcBorders>
            <w:vAlign w:val="center"/>
          </w:tcPr>
          <w:p w14:paraId="7265D4A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菊科</w:t>
            </w:r>
          </w:p>
        </w:tc>
        <w:tc>
          <w:tcPr>
            <w:tcW w:w="2140" w:type="dxa"/>
            <w:tcBorders>
              <w:top w:val="nil"/>
              <w:left w:val="nil"/>
              <w:bottom w:val="single" w:sz="8" w:space="0" w:color="CCCCCC"/>
              <w:right w:val="single" w:sz="8" w:space="0" w:color="CCCCCC"/>
            </w:tcBorders>
            <w:vAlign w:val="center"/>
          </w:tcPr>
          <w:p w14:paraId="479B228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向日葵属</w:t>
            </w:r>
          </w:p>
        </w:tc>
      </w:tr>
      <w:tr w:rsidR="004230E6" w14:paraId="51EBE344"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FD5C9C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lastRenderedPageBreak/>
              <w:t>地肤</w:t>
            </w:r>
          </w:p>
        </w:tc>
        <w:tc>
          <w:tcPr>
            <w:tcW w:w="1923" w:type="dxa"/>
            <w:tcBorders>
              <w:top w:val="nil"/>
              <w:left w:val="nil"/>
              <w:bottom w:val="single" w:sz="8" w:space="0" w:color="CCCCCC"/>
              <w:right w:val="single" w:sz="8" w:space="0" w:color="CCCCCC"/>
            </w:tcBorders>
            <w:vAlign w:val="center"/>
          </w:tcPr>
          <w:p w14:paraId="77A9F8F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4EC0B4F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地肤属</w:t>
            </w:r>
          </w:p>
        </w:tc>
      </w:tr>
      <w:tr w:rsidR="004230E6" w14:paraId="33DE1330"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17A78A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碱蓬</w:t>
            </w:r>
          </w:p>
        </w:tc>
        <w:tc>
          <w:tcPr>
            <w:tcW w:w="1923" w:type="dxa"/>
            <w:tcBorders>
              <w:top w:val="nil"/>
              <w:left w:val="nil"/>
              <w:bottom w:val="single" w:sz="8" w:space="0" w:color="CCCCCC"/>
              <w:right w:val="single" w:sz="8" w:space="0" w:color="CCCCCC"/>
            </w:tcBorders>
            <w:vAlign w:val="center"/>
          </w:tcPr>
          <w:p w14:paraId="3272728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6BA1A90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碱蓬属</w:t>
            </w:r>
          </w:p>
        </w:tc>
      </w:tr>
      <w:tr w:rsidR="004230E6" w14:paraId="4E79A129"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6992E15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盐地碱蓬</w:t>
            </w:r>
          </w:p>
        </w:tc>
        <w:tc>
          <w:tcPr>
            <w:tcW w:w="1923" w:type="dxa"/>
            <w:tcBorders>
              <w:top w:val="nil"/>
              <w:left w:val="nil"/>
              <w:bottom w:val="single" w:sz="8" w:space="0" w:color="CCCCCC"/>
              <w:right w:val="single" w:sz="8" w:space="0" w:color="CCCCCC"/>
            </w:tcBorders>
            <w:vAlign w:val="center"/>
          </w:tcPr>
          <w:p w14:paraId="42DBBCB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02E2B65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碱蓬属</w:t>
            </w:r>
          </w:p>
        </w:tc>
      </w:tr>
      <w:tr w:rsidR="004230E6" w14:paraId="58DC4A0B"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B288A4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灰绿藜</w:t>
            </w:r>
          </w:p>
        </w:tc>
        <w:tc>
          <w:tcPr>
            <w:tcW w:w="1923" w:type="dxa"/>
            <w:tcBorders>
              <w:top w:val="nil"/>
              <w:left w:val="nil"/>
              <w:bottom w:val="single" w:sz="8" w:space="0" w:color="CCCCCC"/>
              <w:right w:val="single" w:sz="8" w:space="0" w:color="CCCCCC"/>
            </w:tcBorders>
            <w:vAlign w:val="center"/>
          </w:tcPr>
          <w:p w14:paraId="4D4D6AE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2E0A369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藜属</w:t>
            </w:r>
          </w:p>
        </w:tc>
      </w:tr>
      <w:tr w:rsidR="004230E6" w14:paraId="5834D254"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16115B05"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藜麦</w:t>
            </w:r>
          </w:p>
        </w:tc>
        <w:tc>
          <w:tcPr>
            <w:tcW w:w="1923" w:type="dxa"/>
            <w:tcBorders>
              <w:top w:val="nil"/>
              <w:left w:val="nil"/>
              <w:bottom w:val="single" w:sz="8" w:space="0" w:color="CCCCCC"/>
              <w:right w:val="single" w:sz="8" w:space="0" w:color="CCCCCC"/>
            </w:tcBorders>
            <w:vAlign w:val="center"/>
          </w:tcPr>
          <w:p w14:paraId="32DD8C2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7857B7D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藜属</w:t>
            </w:r>
          </w:p>
        </w:tc>
      </w:tr>
      <w:tr w:rsidR="004230E6" w14:paraId="0C48162A"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D75B9E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驼绒藜</w:t>
            </w:r>
          </w:p>
        </w:tc>
        <w:tc>
          <w:tcPr>
            <w:tcW w:w="1923" w:type="dxa"/>
            <w:tcBorders>
              <w:top w:val="nil"/>
              <w:left w:val="nil"/>
              <w:bottom w:val="single" w:sz="8" w:space="0" w:color="CCCCCC"/>
              <w:right w:val="single" w:sz="8" w:space="0" w:color="CCCCCC"/>
            </w:tcBorders>
            <w:vAlign w:val="center"/>
          </w:tcPr>
          <w:p w14:paraId="2869C782"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藜科</w:t>
            </w:r>
          </w:p>
        </w:tc>
        <w:tc>
          <w:tcPr>
            <w:tcW w:w="2140" w:type="dxa"/>
            <w:tcBorders>
              <w:top w:val="nil"/>
              <w:left w:val="nil"/>
              <w:bottom w:val="single" w:sz="8" w:space="0" w:color="CCCCCC"/>
              <w:right w:val="single" w:sz="8" w:space="0" w:color="CCCCCC"/>
            </w:tcBorders>
            <w:vAlign w:val="center"/>
          </w:tcPr>
          <w:p w14:paraId="7D1791FA"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驼绒藜属</w:t>
            </w:r>
          </w:p>
        </w:tc>
      </w:tr>
      <w:tr w:rsidR="004230E6" w14:paraId="7DD51EBC"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448703ED"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地榆</w:t>
            </w:r>
          </w:p>
        </w:tc>
        <w:tc>
          <w:tcPr>
            <w:tcW w:w="1923" w:type="dxa"/>
            <w:tcBorders>
              <w:top w:val="nil"/>
              <w:left w:val="nil"/>
              <w:bottom w:val="single" w:sz="8" w:space="0" w:color="CCCCCC"/>
              <w:right w:val="single" w:sz="8" w:space="0" w:color="CCCCCC"/>
            </w:tcBorders>
            <w:vAlign w:val="center"/>
          </w:tcPr>
          <w:p w14:paraId="0AAE7D8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蔷薇科</w:t>
            </w:r>
          </w:p>
        </w:tc>
        <w:tc>
          <w:tcPr>
            <w:tcW w:w="2140" w:type="dxa"/>
            <w:tcBorders>
              <w:top w:val="nil"/>
              <w:left w:val="nil"/>
              <w:bottom w:val="single" w:sz="8" w:space="0" w:color="CCCCCC"/>
              <w:right w:val="single" w:sz="8" w:space="0" w:color="CCCCCC"/>
            </w:tcBorders>
            <w:vAlign w:val="center"/>
          </w:tcPr>
          <w:p w14:paraId="63137DF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地榆属</w:t>
            </w:r>
          </w:p>
        </w:tc>
      </w:tr>
      <w:tr w:rsidR="004230E6" w14:paraId="2F2B0F35"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74090B9A"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油菜</w:t>
            </w:r>
          </w:p>
        </w:tc>
        <w:tc>
          <w:tcPr>
            <w:tcW w:w="1923" w:type="dxa"/>
            <w:tcBorders>
              <w:top w:val="nil"/>
              <w:left w:val="nil"/>
              <w:bottom w:val="single" w:sz="8" w:space="0" w:color="CCCCCC"/>
              <w:right w:val="single" w:sz="8" w:space="0" w:color="CCCCCC"/>
            </w:tcBorders>
            <w:vAlign w:val="center"/>
          </w:tcPr>
          <w:p w14:paraId="1A0F1626"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十字花科</w:t>
            </w:r>
          </w:p>
        </w:tc>
        <w:tc>
          <w:tcPr>
            <w:tcW w:w="2140" w:type="dxa"/>
            <w:tcBorders>
              <w:top w:val="nil"/>
              <w:left w:val="nil"/>
              <w:bottom w:val="single" w:sz="8" w:space="0" w:color="CCCCCC"/>
              <w:right w:val="single" w:sz="8" w:space="0" w:color="CCCCCC"/>
            </w:tcBorders>
            <w:vAlign w:val="center"/>
          </w:tcPr>
          <w:p w14:paraId="4FD16561"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芸薹属</w:t>
            </w:r>
          </w:p>
        </w:tc>
      </w:tr>
      <w:tr w:rsidR="004230E6" w14:paraId="353D100B"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21F33D59"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山韭</w:t>
            </w:r>
          </w:p>
        </w:tc>
        <w:tc>
          <w:tcPr>
            <w:tcW w:w="1923" w:type="dxa"/>
            <w:tcBorders>
              <w:top w:val="nil"/>
              <w:left w:val="nil"/>
              <w:bottom w:val="single" w:sz="8" w:space="0" w:color="CCCCCC"/>
              <w:right w:val="single" w:sz="8" w:space="0" w:color="CCCCCC"/>
            </w:tcBorders>
            <w:vAlign w:val="center"/>
          </w:tcPr>
          <w:p w14:paraId="0B8531B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石蒜科</w:t>
            </w:r>
          </w:p>
        </w:tc>
        <w:tc>
          <w:tcPr>
            <w:tcW w:w="2140" w:type="dxa"/>
            <w:tcBorders>
              <w:top w:val="nil"/>
              <w:left w:val="nil"/>
              <w:bottom w:val="single" w:sz="8" w:space="0" w:color="CCCCCC"/>
              <w:right w:val="single" w:sz="8" w:space="0" w:color="CCCCCC"/>
            </w:tcBorders>
            <w:vAlign w:val="center"/>
          </w:tcPr>
          <w:p w14:paraId="0FCFE2D0"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葱属</w:t>
            </w:r>
          </w:p>
        </w:tc>
      </w:tr>
      <w:tr w:rsidR="004230E6" w14:paraId="28710326" w14:textId="77777777">
        <w:trPr>
          <w:trHeight w:val="300"/>
        </w:trPr>
        <w:tc>
          <w:tcPr>
            <w:tcW w:w="1892" w:type="dxa"/>
            <w:tcBorders>
              <w:top w:val="nil"/>
              <w:left w:val="single" w:sz="8" w:space="0" w:color="CCCCCC"/>
              <w:bottom w:val="single" w:sz="8" w:space="0" w:color="CCCCCC"/>
              <w:right w:val="single" w:sz="8" w:space="0" w:color="CCCCCC"/>
            </w:tcBorders>
            <w:vAlign w:val="center"/>
          </w:tcPr>
          <w:p w14:paraId="029D3E9B"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野韭</w:t>
            </w:r>
          </w:p>
        </w:tc>
        <w:tc>
          <w:tcPr>
            <w:tcW w:w="1923" w:type="dxa"/>
            <w:tcBorders>
              <w:top w:val="nil"/>
              <w:left w:val="nil"/>
              <w:bottom w:val="single" w:sz="8" w:space="0" w:color="CCCCCC"/>
              <w:right w:val="single" w:sz="8" w:space="0" w:color="CCCCCC"/>
            </w:tcBorders>
            <w:vAlign w:val="center"/>
          </w:tcPr>
          <w:p w14:paraId="65777428"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石蒜科</w:t>
            </w:r>
          </w:p>
        </w:tc>
        <w:tc>
          <w:tcPr>
            <w:tcW w:w="2140" w:type="dxa"/>
            <w:tcBorders>
              <w:top w:val="nil"/>
              <w:left w:val="nil"/>
              <w:bottom w:val="single" w:sz="8" w:space="0" w:color="CCCCCC"/>
              <w:right w:val="single" w:sz="8" w:space="0" w:color="CCCCCC"/>
            </w:tcBorders>
            <w:vAlign w:val="center"/>
          </w:tcPr>
          <w:p w14:paraId="32B0170C"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葱属</w:t>
            </w:r>
          </w:p>
        </w:tc>
      </w:tr>
      <w:tr w:rsidR="004230E6" w14:paraId="5047ADEE" w14:textId="77777777">
        <w:trPr>
          <w:trHeight w:val="300"/>
        </w:trPr>
        <w:tc>
          <w:tcPr>
            <w:tcW w:w="1892" w:type="dxa"/>
            <w:tcBorders>
              <w:top w:val="nil"/>
              <w:left w:val="single" w:sz="8" w:space="0" w:color="CCCCCC"/>
              <w:bottom w:val="single" w:sz="4" w:space="0" w:color="auto"/>
              <w:right w:val="single" w:sz="8" w:space="0" w:color="CCCCCC"/>
            </w:tcBorders>
            <w:vAlign w:val="center"/>
          </w:tcPr>
          <w:p w14:paraId="12928FD7"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苋</w:t>
            </w:r>
          </w:p>
        </w:tc>
        <w:tc>
          <w:tcPr>
            <w:tcW w:w="1923" w:type="dxa"/>
            <w:tcBorders>
              <w:top w:val="nil"/>
              <w:left w:val="nil"/>
              <w:bottom w:val="single" w:sz="4" w:space="0" w:color="auto"/>
              <w:right w:val="single" w:sz="8" w:space="0" w:color="CCCCCC"/>
            </w:tcBorders>
            <w:vAlign w:val="center"/>
          </w:tcPr>
          <w:p w14:paraId="1BA4E614"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苋科</w:t>
            </w:r>
          </w:p>
        </w:tc>
        <w:tc>
          <w:tcPr>
            <w:tcW w:w="2140" w:type="dxa"/>
            <w:tcBorders>
              <w:top w:val="nil"/>
              <w:left w:val="nil"/>
              <w:bottom w:val="single" w:sz="4" w:space="0" w:color="auto"/>
              <w:right w:val="single" w:sz="8" w:space="0" w:color="CCCCCC"/>
            </w:tcBorders>
            <w:vAlign w:val="center"/>
          </w:tcPr>
          <w:p w14:paraId="201B3EDF" w14:textId="77777777" w:rsidR="004230E6" w:rsidRDefault="00000000">
            <w:pPr>
              <w:widowControl/>
              <w:jc w:val="left"/>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苋属</w:t>
            </w:r>
          </w:p>
        </w:tc>
      </w:tr>
    </w:tbl>
    <w:p w14:paraId="68E850C9"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5.1.2 材料种植</w:t>
      </w:r>
    </w:p>
    <w:p w14:paraId="33701A3E" w14:textId="2E22A47E" w:rsidR="004230E6" w:rsidRDefault="00000000">
      <w:pPr>
        <w:keepNext/>
        <w:keepLines/>
        <w:spacing w:before="200"/>
        <w:ind w:firstLineChars="200" w:firstLine="640"/>
        <w:outlineLvl w:val="2"/>
        <w:rPr>
          <w:rFonts w:ascii="宋体" w:eastAsia="宋体" w:hAnsi="宋体" w:cs="宋体" w:hint="eastAsia"/>
          <w:sz w:val="32"/>
          <w:szCs w:val="32"/>
        </w:rPr>
      </w:pPr>
      <w:r>
        <w:rPr>
          <w:rFonts w:ascii="宋体" w:eastAsia="宋体" w:hAnsi="宋体" w:cs="宋体" w:hint="eastAsia"/>
          <w:sz w:val="32"/>
          <w:szCs w:val="32"/>
        </w:rPr>
        <w:t>等量蛭石装入塑料盒内，每个材料播种 10-30 粒种子，具体数量根据筛选材料的特征决定，覆蛭石 2 cm （蛭石颗粒大小3-6 mm），每个托盘（54 cm ×28 cm ×7 cm）放 18 个育苗盒（8 cm×8 cm），托盘内加入 5 L 底水。待幼苗长出约两片真叶，选取生长状况一致、无病虫害的健康植株。</w:t>
      </w:r>
    </w:p>
    <w:p w14:paraId="6EAB9396"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5.1.3　胁迫浓度梯度</w:t>
      </w:r>
    </w:p>
    <w:p w14:paraId="4749E43E" w14:textId="77777777"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采用氯化钠（NaCl）单盐胁迫，设置对照（CK，0 mmol/L）及 8 个浓度梯度：50、100、150、200、300、400、600、800、1000 mmol/L。浓度间隔覆盖从低盐胁迫到高盐胁迫区间。盐溶液以去离子水配制的 1×霍格兰德营养液作为基础液，按上述浓度配制。</w:t>
      </w:r>
    </w:p>
    <w:p w14:paraId="78C5F703"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5.1.4　胁迫处理</w:t>
      </w:r>
    </w:p>
    <w:p w14:paraId="5DA21BC9" w14:textId="77777777"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采用底部浇灌方式施加胁迫溶液，整个周期使用不低</w:t>
      </w:r>
      <w:r>
        <w:rPr>
          <w:rFonts w:ascii="宋体" w:eastAsia="宋体" w:hAnsi="宋体" w:cs="宋体" w:hint="eastAsia"/>
          <w:sz w:val="32"/>
          <w:szCs w:val="32"/>
        </w:rPr>
        <w:lastRenderedPageBreak/>
        <w:t>于 5 L 对应盐浓度溶液，处理周期不少于 7 周，期间一直是对应盐溶液处理，不做复水操作。</w:t>
      </w:r>
    </w:p>
    <w:p w14:paraId="2F10C4DD"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5.1.5　表型观察</w:t>
      </w:r>
    </w:p>
    <w:p w14:paraId="315D19C5" w14:textId="77777777"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自胁迫处理开始至处理结束后，每周拍照 1 次，不少于 6 周。</w:t>
      </w:r>
    </w:p>
    <w:p w14:paraId="5BB258FB"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5.1.6　长势等级评定</w:t>
      </w:r>
    </w:p>
    <w:p w14:paraId="640C7AC9" w14:textId="77777777"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整盆试验，采用目视估测，依据表 2对每一材料每一浓度处理的代表性植株或群体进行长势等级判定。判定应以对照（CK）同期长势为参照基准。每一材料列出对应处理下得长势等级。</w:t>
      </w:r>
    </w:p>
    <w:p w14:paraId="4DCF568C" w14:textId="77777777" w:rsidR="004230E6" w:rsidRDefault="00000000" w:rsidP="00360DE6">
      <w:pPr>
        <w:spacing w:line="384" w:lineRule="auto"/>
        <w:jc w:val="center"/>
        <w:rPr>
          <w:rFonts w:ascii="宋体" w:eastAsia="宋体" w:hAnsi="宋体" w:cs="宋体" w:hint="eastAsia"/>
          <w:sz w:val="32"/>
          <w:szCs w:val="32"/>
        </w:rPr>
      </w:pPr>
      <w:r>
        <w:rPr>
          <w:rFonts w:ascii="宋体" w:eastAsia="宋体" w:hAnsi="宋体" w:cs="宋体" w:hint="eastAsia"/>
          <w:sz w:val="32"/>
          <w:szCs w:val="32"/>
        </w:rPr>
        <w:t>表2　长势等级标准</w:t>
      </w:r>
    </w:p>
    <w:tbl>
      <w:tblPr>
        <w:tblpPr w:leftFromText="180" w:rightFromText="180" w:vertAnchor="text" w:horzAnchor="page" w:tblpX="1841" w:tblpY="612"/>
        <w:tblOverlap w:val="never"/>
        <w:tblW w:w="4913" w:type="pct"/>
        <w:tblLook w:val="04A0" w:firstRow="1" w:lastRow="0" w:firstColumn="1" w:lastColumn="0" w:noHBand="0" w:noVBand="1"/>
      </w:tblPr>
      <w:tblGrid>
        <w:gridCol w:w="3278"/>
        <w:gridCol w:w="2803"/>
        <w:gridCol w:w="2071"/>
      </w:tblGrid>
      <w:tr w:rsidR="004230E6" w14:paraId="01322DE0" w14:textId="77777777">
        <w:tc>
          <w:tcPr>
            <w:tcW w:w="2010"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2638176C"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形态描述</w:t>
            </w:r>
          </w:p>
        </w:tc>
        <w:tc>
          <w:tcPr>
            <w:tcW w:w="1719"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50E7468D"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判断依据</w:t>
            </w:r>
          </w:p>
        </w:tc>
        <w:tc>
          <w:tcPr>
            <w:tcW w:w="1269"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538A7187"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长势等级</w:t>
            </w:r>
          </w:p>
        </w:tc>
      </w:tr>
      <w:tr w:rsidR="004230E6" w14:paraId="49680D33" w14:textId="77777777">
        <w:tc>
          <w:tcPr>
            <w:tcW w:w="2010"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D169814"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全株正常，叶色深绿，无枯叶</w:t>
            </w:r>
          </w:p>
        </w:tc>
        <w:tc>
          <w:tcPr>
            <w:tcW w:w="171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6D52FD3" w14:textId="4F307FB2"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与同期 CK 无肉眼可见差异</w:t>
            </w:r>
          </w:p>
        </w:tc>
        <w:tc>
          <w:tcPr>
            <w:tcW w:w="126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B98A113"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w:t>
            </w:r>
            <w:r>
              <w:rPr>
                <w:rFonts w:ascii="宋体" w:eastAsia="宋体" w:hAnsi="宋体" w:cs="宋体" w:hint="eastAsia"/>
                <w:sz w:val="24"/>
                <w:szCs w:val="24"/>
              </w:rPr>
              <w:t>轻度</w:t>
            </w:r>
          </w:p>
        </w:tc>
      </w:tr>
      <w:tr w:rsidR="004230E6" w14:paraId="30B4E5B6" w14:textId="77777777">
        <w:tc>
          <w:tcPr>
            <w:tcW w:w="2010"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7CF3951"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长势基本正常，叶尖轻微黄化</w:t>
            </w:r>
          </w:p>
        </w:tc>
        <w:tc>
          <w:tcPr>
            <w:tcW w:w="171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3D69F76"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枯叶率＜ 10% ，相对株高 ≥0.75</w:t>
            </w:r>
          </w:p>
        </w:tc>
        <w:tc>
          <w:tcPr>
            <w:tcW w:w="126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BB02CD5"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II</w:t>
            </w:r>
            <w:r>
              <w:rPr>
                <w:rFonts w:ascii="宋体" w:eastAsia="宋体" w:hAnsi="宋体" w:cs="宋体" w:hint="eastAsia"/>
                <w:sz w:val="24"/>
                <w:szCs w:val="24"/>
              </w:rPr>
              <w:t>中度</w:t>
            </w:r>
          </w:p>
        </w:tc>
      </w:tr>
      <w:tr w:rsidR="004230E6" w14:paraId="4335EA86" w14:textId="77777777">
        <w:tc>
          <w:tcPr>
            <w:tcW w:w="2010"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6DD3430"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株高明显受抑，叶色变浅，少数枯叶</w:t>
            </w:r>
          </w:p>
        </w:tc>
        <w:tc>
          <w:tcPr>
            <w:tcW w:w="171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F27CA57" w14:textId="13339729"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枯叶率 10% ～ 40% ，相对株高 0.50 ～ 0.75</w:t>
            </w:r>
          </w:p>
        </w:tc>
        <w:tc>
          <w:tcPr>
            <w:tcW w:w="126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48A283A"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III</w:t>
            </w:r>
            <w:r>
              <w:rPr>
                <w:rFonts w:ascii="宋体" w:eastAsia="宋体" w:hAnsi="宋体" w:cs="宋体" w:hint="eastAsia"/>
                <w:sz w:val="24"/>
                <w:szCs w:val="24"/>
              </w:rPr>
              <w:t>重度</w:t>
            </w:r>
          </w:p>
        </w:tc>
      </w:tr>
      <w:tr w:rsidR="004230E6" w14:paraId="76100A08" w14:textId="77777777">
        <w:tc>
          <w:tcPr>
            <w:tcW w:w="2010"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672EC07"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生长停滞，近半叶片枯黄，仅心叶存活</w:t>
            </w:r>
          </w:p>
        </w:tc>
        <w:tc>
          <w:tcPr>
            <w:tcW w:w="171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1D577C0" w14:textId="3D3ABED6"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枯叶率 40% ～ 70% ，相对株高＜ 0.50</w:t>
            </w:r>
          </w:p>
        </w:tc>
        <w:tc>
          <w:tcPr>
            <w:tcW w:w="126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55FC4DB"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IV</w:t>
            </w:r>
            <w:r>
              <w:rPr>
                <w:rFonts w:ascii="宋体" w:hAnsi="宋体" w:cs="宋体" w:hint="eastAsia"/>
                <w:sz w:val="24"/>
                <w:szCs w:val="24"/>
              </w:rPr>
              <w:t>枯萎</w:t>
            </w:r>
          </w:p>
        </w:tc>
      </w:tr>
      <w:tr w:rsidR="004230E6" w14:paraId="37815446" w14:textId="77777777">
        <w:tc>
          <w:tcPr>
            <w:tcW w:w="2010"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05DCB37"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严重萎蔫，逾七成叶片枯死，濒死</w:t>
            </w:r>
          </w:p>
        </w:tc>
        <w:tc>
          <w:tcPr>
            <w:tcW w:w="171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949F5FE" w14:textId="77777777" w:rsidR="004230E6" w:rsidRDefault="00000000">
            <w:pPr>
              <w:spacing w:before="52" w:after="52"/>
              <w:rPr>
                <w:rFonts w:ascii="宋体" w:eastAsia="宋体" w:hAnsi="宋体" w:cs="宋体" w:hint="eastAsia"/>
                <w:sz w:val="24"/>
                <w:szCs w:val="24"/>
              </w:rPr>
            </w:pPr>
            <w:r>
              <w:rPr>
                <w:rFonts w:ascii="宋体" w:eastAsia="宋体" w:hAnsi="宋体" w:cs="宋体" w:hint="eastAsia"/>
                <w:sz w:val="24"/>
                <w:szCs w:val="24"/>
              </w:rPr>
              <w:t>仅剩基部绿色组织或无绿色组织</w:t>
            </w:r>
          </w:p>
        </w:tc>
        <w:tc>
          <w:tcPr>
            <w:tcW w:w="1269"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56ED229"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IV</w:t>
            </w:r>
            <w:r>
              <w:rPr>
                <w:rFonts w:ascii="宋体" w:eastAsia="宋体" w:hAnsi="宋体" w:cs="宋体" w:hint="eastAsia"/>
                <w:sz w:val="24"/>
                <w:szCs w:val="24"/>
              </w:rPr>
              <w:t>死亡</w:t>
            </w:r>
          </w:p>
        </w:tc>
      </w:tr>
    </w:tbl>
    <w:p w14:paraId="23AC0785" w14:textId="77777777" w:rsidR="004230E6" w:rsidRDefault="004230E6">
      <w:pPr>
        <w:rPr>
          <w:rFonts w:ascii="宋体" w:eastAsia="宋体" w:hAnsi="宋体" w:cs="宋体" w:hint="eastAsia"/>
          <w:szCs w:val="21"/>
        </w:rPr>
      </w:pPr>
    </w:p>
    <w:p w14:paraId="19A93064" w14:textId="77777777" w:rsidR="004230E6" w:rsidRDefault="00000000">
      <w:pPr>
        <w:keepNext/>
        <w:keepLines/>
        <w:spacing w:before="200"/>
        <w:outlineLvl w:val="1"/>
        <w:rPr>
          <w:rFonts w:ascii="宋体" w:eastAsia="宋体" w:hAnsi="宋体" w:cs="宋体" w:hint="eastAsia"/>
          <w:sz w:val="32"/>
          <w:szCs w:val="32"/>
        </w:rPr>
      </w:pPr>
      <w:r>
        <w:rPr>
          <w:rFonts w:ascii="宋体" w:eastAsia="宋体" w:hAnsi="宋体" w:cs="宋体" w:hint="eastAsia"/>
          <w:sz w:val="32"/>
          <w:szCs w:val="32"/>
        </w:rPr>
        <w:lastRenderedPageBreak/>
        <w:t>5.1.7　叶绿素荧光参数测定</w:t>
      </w:r>
    </w:p>
    <w:p w14:paraId="0AB23337" w14:textId="77777777" w:rsidR="004230E6" w:rsidRDefault="00000000">
      <w:pPr>
        <w:keepNext/>
        <w:keepLines/>
        <w:spacing w:before="200" w:line="360" w:lineRule="auto"/>
        <w:outlineLvl w:val="2"/>
        <w:rPr>
          <w:rFonts w:ascii="宋体" w:eastAsia="宋体" w:hAnsi="宋体" w:cs="宋体" w:hint="eastAsia"/>
          <w:sz w:val="32"/>
          <w:szCs w:val="32"/>
        </w:rPr>
      </w:pPr>
      <w:r>
        <w:rPr>
          <w:rFonts w:ascii="宋体" w:eastAsia="宋体" w:hAnsi="宋体" w:cs="宋体" w:hint="eastAsia"/>
          <w:sz w:val="32"/>
          <w:szCs w:val="32"/>
        </w:rPr>
        <w:t xml:space="preserve">    分别于胁迫处理后第 4-6 周测定，以耐盐表型及植株高度适合叶绿素荧光仪为参考。测定前对叶片进行暗适应，暗适应时间不少于 20 min。整盆植株叶测定。同批次测定应在同一时段内完成，避免光强与温度波动影响。对照（CK）Fv/Fm 应不低于 0.70。Fv/Fm 测定值为 0 时，判定为植株死亡，应与存活记录核对确认。若植株干枯表型值记录，不测叶绿素荧光参数。</w:t>
      </w:r>
    </w:p>
    <w:p w14:paraId="71637202" w14:textId="77777777" w:rsidR="004230E6" w:rsidRDefault="00000000">
      <w:pPr>
        <w:pStyle w:val="a"/>
        <w:numPr>
          <w:ilvl w:val="1"/>
          <w:numId w:val="0"/>
        </w:numPr>
        <w:spacing w:before="312" w:after="312"/>
        <w:rPr>
          <w:rFonts w:ascii="宋体" w:eastAsia="宋体" w:hAnsi="宋体" w:cs="宋体" w:hint="eastAsia"/>
          <w:kern w:val="2"/>
          <w:sz w:val="32"/>
          <w:szCs w:val="32"/>
        </w:rPr>
      </w:pPr>
      <w:r>
        <w:rPr>
          <w:rFonts w:ascii="宋体" w:eastAsia="宋体" w:hAnsi="宋体" w:cs="宋体" w:hint="eastAsia"/>
          <w:sz w:val="32"/>
          <w:szCs w:val="32"/>
        </w:rPr>
        <w:t>5.1.8 耐盐性评价</w:t>
      </w:r>
    </w:p>
    <w:p w14:paraId="0F19BD4D"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判定原则</w:t>
      </w:r>
    </w:p>
    <w:p w14:paraId="697FEF23" w14:textId="11B7E166"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对每份材料在单一盐胁迫浓度下评定单点耐盐等级，综合相对荧光参数 RF、绝对阈值 Fv/Fm、表型长势分判定等级，选取较差等级作为该浓度下材料的单点耐盐等级。</w:t>
      </w:r>
    </w:p>
    <w:p w14:paraId="6C060C72" w14:textId="77777777" w:rsidR="004230E6" w:rsidRDefault="00000000">
      <w:pPr>
        <w:keepNext/>
        <w:keepLines/>
        <w:spacing w:before="200"/>
        <w:outlineLvl w:val="2"/>
        <w:rPr>
          <w:rFonts w:ascii="宋体" w:eastAsia="宋体" w:hAnsi="宋体" w:cs="宋体" w:hint="eastAsia"/>
          <w:sz w:val="32"/>
          <w:szCs w:val="32"/>
        </w:rPr>
      </w:pPr>
      <w:r>
        <w:rPr>
          <w:rFonts w:ascii="宋体" w:eastAsia="宋体" w:hAnsi="宋体" w:cs="宋体" w:hint="eastAsia"/>
          <w:sz w:val="32"/>
          <w:szCs w:val="32"/>
        </w:rPr>
        <w:t>等级划分</w:t>
      </w:r>
    </w:p>
    <w:p w14:paraId="3F185F7C" w14:textId="77777777" w:rsidR="004230E6" w:rsidRDefault="00000000">
      <w:pPr>
        <w:spacing w:line="384" w:lineRule="auto"/>
        <w:ind w:firstLineChars="200" w:firstLine="640"/>
        <w:rPr>
          <w:rFonts w:ascii="宋体" w:eastAsia="宋体" w:hAnsi="宋体" w:cs="宋体" w:hint="eastAsia"/>
          <w:sz w:val="32"/>
          <w:szCs w:val="32"/>
        </w:rPr>
      </w:pPr>
      <w:r>
        <w:rPr>
          <w:rFonts w:ascii="宋体" w:eastAsia="宋体" w:hAnsi="宋体" w:cs="宋体" w:hint="eastAsia"/>
          <w:sz w:val="32"/>
          <w:szCs w:val="32"/>
        </w:rPr>
        <w:t>单点耐盐等级划分为强耐盐、耐盐、中耐盐、敏感、极敏感五级，判定阈值见表3。</w:t>
      </w:r>
    </w:p>
    <w:p w14:paraId="2513EB72" w14:textId="77777777" w:rsidR="004230E6" w:rsidRDefault="00000000">
      <w:pPr>
        <w:spacing w:line="384" w:lineRule="auto"/>
        <w:ind w:firstLineChars="200" w:firstLine="640"/>
        <w:jc w:val="center"/>
        <w:rPr>
          <w:rFonts w:ascii="宋体" w:eastAsia="宋体" w:hAnsi="宋体" w:cs="宋体" w:hint="eastAsia"/>
          <w:sz w:val="32"/>
          <w:szCs w:val="32"/>
        </w:rPr>
      </w:pPr>
      <w:r>
        <w:rPr>
          <w:rFonts w:ascii="宋体" w:eastAsia="宋体" w:hAnsi="宋体" w:cs="宋体" w:hint="eastAsia"/>
          <w:sz w:val="32"/>
          <w:szCs w:val="32"/>
        </w:rPr>
        <w:t>表3　单点耐盐等级判定</w:t>
      </w:r>
    </w:p>
    <w:tbl>
      <w:tblPr>
        <w:tblW w:w="4852" w:type="pct"/>
        <w:tblInd w:w="143" w:type="dxa"/>
        <w:tblLook w:val="04A0" w:firstRow="1" w:lastRow="0" w:firstColumn="1" w:lastColumn="0" w:noHBand="0" w:noVBand="1"/>
      </w:tblPr>
      <w:tblGrid>
        <w:gridCol w:w="1249"/>
        <w:gridCol w:w="1687"/>
        <w:gridCol w:w="1602"/>
        <w:gridCol w:w="1520"/>
        <w:gridCol w:w="1992"/>
      </w:tblGrid>
      <w:tr w:rsidR="004230E6" w14:paraId="35448A22" w14:textId="77777777">
        <w:tc>
          <w:tcPr>
            <w:tcW w:w="775"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083C2E43"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耐盐</w:t>
            </w:r>
            <w:r>
              <w:rPr>
                <w:rFonts w:ascii="宋体" w:eastAsia="宋体" w:hAnsi="宋体" w:cs="宋体" w:hint="eastAsia"/>
                <w:sz w:val="24"/>
                <w:szCs w:val="24"/>
              </w:rPr>
              <w:t>等级</w:t>
            </w:r>
          </w:p>
        </w:tc>
        <w:tc>
          <w:tcPr>
            <w:tcW w:w="1047"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07C77C83" w14:textId="771DC4A3"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相对阈值 RF （处理/CK ）</w:t>
            </w:r>
          </w:p>
        </w:tc>
        <w:tc>
          <w:tcPr>
            <w:tcW w:w="995"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0B005B99"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绝对阈值  Fv/Fm</w:t>
            </w:r>
          </w:p>
        </w:tc>
        <w:tc>
          <w:tcPr>
            <w:tcW w:w="944"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27C6C44A"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长势等级</w:t>
            </w:r>
          </w:p>
        </w:tc>
        <w:tc>
          <w:tcPr>
            <w:tcW w:w="1237"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0F651E35"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胁迫表征</w:t>
            </w:r>
          </w:p>
        </w:tc>
      </w:tr>
      <w:tr w:rsidR="004230E6" w14:paraId="4EC06324"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173FAA4"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强耐盐</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9633992"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≥0.90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EA487A1"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≥0.70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8F4136A"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w:t>
            </w:r>
            <w:r>
              <w:rPr>
                <w:rFonts w:ascii="宋体" w:eastAsia="宋体" w:hAnsi="宋体" w:cs="宋体" w:hint="eastAsia"/>
                <w:sz w:val="24"/>
                <w:szCs w:val="24"/>
              </w:rPr>
              <w:t>轻度</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699A0F4"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无可见胁迫</w:t>
            </w:r>
          </w:p>
        </w:tc>
      </w:tr>
      <w:tr w:rsidR="004230E6" w14:paraId="59832CE8"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5A84640"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耐盐</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39BEDD9"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0.75 ～ 0.90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0008D8C"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 xml:space="preserve">0.55 ～ </w:t>
            </w:r>
            <w:r>
              <w:rPr>
                <w:rFonts w:ascii="宋体" w:eastAsia="宋体" w:hAnsi="宋体" w:cs="宋体" w:hint="eastAsia"/>
                <w:sz w:val="24"/>
                <w:szCs w:val="24"/>
              </w:rPr>
              <w:lastRenderedPageBreak/>
              <w:t>0.70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0432D64"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lastRenderedPageBreak/>
              <w:t>II</w:t>
            </w:r>
            <w:r>
              <w:rPr>
                <w:rFonts w:ascii="宋体" w:eastAsia="宋体" w:hAnsi="宋体" w:cs="宋体" w:hint="eastAsia"/>
                <w:sz w:val="24"/>
                <w:szCs w:val="24"/>
              </w:rPr>
              <w:t>中度</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C314726"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叶尖轻微黄化</w:t>
            </w:r>
          </w:p>
        </w:tc>
      </w:tr>
      <w:tr w:rsidR="004230E6" w14:paraId="539F7853"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85EB1A7"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中耐盐</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3D20054"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0.50 ～ 0.75</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A6353E2"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0.35 ～ 0.55</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F95D5E0"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III</w:t>
            </w:r>
            <w:r>
              <w:rPr>
                <w:rFonts w:ascii="宋体" w:eastAsia="宋体" w:hAnsi="宋体" w:cs="宋体" w:hint="eastAsia"/>
                <w:sz w:val="24"/>
                <w:szCs w:val="24"/>
              </w:rPr>
              <w:t>重度</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23AC4DE"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株高受抑、叶色变浅</w:t>
            </w:r>
          </w:p>
        </w:tc>
      </w:tr>
      <w:tr w:rsidR="004230E6" w14:paraId="0C47B475"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7D7F5C6" w14:textId="77777777" w:rsidR="004230E6" w:rsidRDefault="00000000">
            <w:pPr>
              <w:spacing w:before="52" w:after="52"/>
              <w:ind w:firstLineChars="200" w:firstLine="480"/>
              <w:rPr>
                <w:rFonts w:ascii="宋体" w:eastAsia="宋体" w:hAnsi="宋体" w:cs="宋体" w:hint="eastAsia"/>
                <w:sz w:val="24"/>
                <w:szCs w:val="24"/>
              </w:rPr>
            </w:pPr>
            <w:r>
              <w:rPr>
                <w:rFonts w:ascii="宋体" w:eastAsia="宋体" w:hAnsi="宋体" w:cs="宋体" w:hint="eastAsia"/>
                <w:sz w:val="24"/>
                <w:szCs w:val="24"/>
              </w:rPr>
              <w:t>敏感</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FC7CCE"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0.25 ～ 0.50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B4CB670"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0.10 ～ 0.35</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8FFCB17"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IV</w:t>
            </w:r>
            <w:r>
              <w:rPr>
                <w:rFonts w:ascii="宋体" w:hAnsi="宋体" w:cs="宋体" w:hint="eastAsia"/>
                <w:sz w:val="24"/>
                <w:szCs w:val="24"/>
              </w:rPr>
              <w:t>枯萎</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81F1A7A"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近半叶片枯黄</w:t>
            </w:r>
          </w:p>
        </w:tc>
      </w:tr>
      <w:tr w:rsidR="004230E6" w14:paraId="646E52D2"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5E2A2D4"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极敏感</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28D6CF1"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&lt;0.25</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6992FCC"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&lt;0.10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DCB5B36" w14:textId="77777777" w:rsidR="004230E6" w:rsidRDefault="00000000">
            <w:pPr>
              <w:spacing w:before="52" w:after="52"/>
              <w:jc w:val="center"/>
              <w:rPr>
                <w:rFonts w:ascii="宋体" w:eastAsia="宋体" w:hAnsi="宋体" w:cs="宋体" w:hint="eastAsia"/>
                <w:sz w:val="24"/>
                <w:szCs w:val="24"/>
              </w:rPr>
            </w:pPr>
            <w:r>
              <w:rPr>
                <w:rFonts w:ascii="宋体" w:hAnsi="宋体" w:cs="宋体" w:hint="eastAsia"/>
                <w:sz w:val="24"/>
                <w:szCs w:val="24"/>
              </w:rPr>
              <w:t>IV</w:t>
            </w:r>
            <w:r>
              <w:rPr>
                <w:rFonts w:ascii="宋体" w:eastAsia="宋体" w:hAnsi="宋体" w:cs="宋体" w:hint="eastAsia"/>
                <w:sz w:val="24"/>
                <w:szCs w:val="24"/>
              </w:rPr>
              <w:t>死亡</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D76DFA3" w14:textId="77777777" w:rsidR="004230E6" w:rsidRDefault="00000000">
            <w:pPr>
              <w:spacing w:before="52" w:after="52"/>
              <w:jc w:val="center"/>
              <w:rPr>
                <w:rFonts w:ascii="宋体" w:eastAsia="宋体" w:hAnsi="宋体" w:cs="宋体" w:hint="eastAsia"/>
                <w:sz w:val="24"/>
                <w:szCs w:val="24"/>
              </w:rPr>
            </w:pPr>
            <w:r>
              <w:rPr>
                <w:rFonts w:ascii="宋体" w:eastAsia="宋体" w:hAnsi="宋体" w:cs="宋体" w:hint="eastAsia"/>
                <w:sz w:val="24"/>
                <w:szCs w:val="24"/>
              </w:rPr>
              <w:t>全株死亡</w:t>
            </w:r>
          </w:p>
        </w:tc>
      </w:tr>
    </w:tbl>
    <w:p w14:paraId="776C1DA0" w14:textId="77777777" w:rsidR="004230E6" w:rsidRDefault="004230E6">
      <w:pPr>
        <w:pStyle w:val="ab"/>
        <w:spacing w:before="0" w:beforeAutospacing="0" w:after="0" w:afterAutospacing="0" w:line="360" w:lineRule="auto"/>
        <w:jc w:val="both"/>
        <w:rPr>
          <w:rFonts w:eastAsia="宋体" w:hint="eastAsia"/>
          <w:sz w:val="32"/>
          <w:szCs w:val="32"/>
        </w:rPr>
      </w:pPr>
    </w:p>
    <w:p w14:paraId="09B96D14" w14:textId="77777777" w:rsidR="004230E6" w:rsidRDefault="00000000">
      <w:pPr>
        <w:pStyle w:val="ab"/>
        <w:spacing w:before="0" w:beforeAutospacing="0" w:after="0" w:afterAutospacing="0" w:line="360" w:lineRule="auto"/>
        <w:jc w:val="both"/>
        <w:rPr>
          <w:rFonts w:eastAsia="宋体" w:hint="eastAsia"/>
          <w:kern w:val="2"/>
          <w:sz w:val="32"/>
          <w:szCs w:val="32"/>
        </w:rPr>
      </w:pPr>
      <w:r>
        <w:rPr>
          <w:rFonts w:eastAsia="宋体" w:hint="eastAsia"/>
          <w:sz w:val="32"/>
          <w:szCs w:val="32"/>
        </w:rPr>
        <w:t>5.2植物苗期耐盐筛选结果</w:t>
      </w:r>
    </w:p>
    <w:p w14:paraId="299A45C0" w14:textId="77777777" w:rsidR="004230E6"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5.2.1植物苗期耐盐筛选技术规范建立</w:t>
      </w:r>
    </w:p>
    <w:p w14:paraId="1E72940B"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技术规范旨在建立一套标准化、可重复、高通量的植物苗期耐盐筛选技术规范（图1）。该技术规范结合水培和土培的优劣势，采用水培和蛭石体系相结合的方法，操作简单快速，成本低，通过严格控制环境条件、胁迫强度与时间，对植物材料进行精准胁迫处理，并进行系统评价，最终实现对不同植物种质资源耐盐能力的快速、客观鉴定与分级。</w:t>
      </w:r>
    </w:p>
    <w:p w14:paraId="2CA633CD"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该体系的优势体现在以下几个方面，</w:t>
      </w:r>
    </w:p>
    <w:p w14:paraId="7F1E1616"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1标准化：流程统一，结果可比性强；</w:t>
      </w:r>
    </w:p>
    <w:p w14:paraId="4042494C"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2精准化：精准的盐浓度处理；</w:t>
      </w:r>
    </w:p>
    <w:p w14:paraId="4A02B376"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3高通量：适用于大规模种质资源筛选。</w:t>
      </w:r>
    </w:p>
    <w:p w14:paraId="64ABA150" w14:textId="77777777" w:rsidR="004230E6" w:rsidRDefault="00000000">
      <w:pPr>
        <w:widowControl/>
        <w:spacing w:before="100" w:beforeAutospacing="1" w:after="100" w:afterAutospacing="1" w:line="360" w:lineRule="auto"/>
        <w:rPr>
          <w:rFonts w:ascii="宋体" w:eastAsia="宋体" w:hAnsi="宋体" w:cs="宋体" w:hint="eastAsia"/>
          <w:kern w:val="0"/>
          <w:sz w:val="32"/>
          <w:szCs w:val="32"/>
        </w:rPr>
      </w:pPr>
      <w:r>
        <w:rPr>
          <w:rFonts w:ascii="宋体" w:eastAsia="宋体" w:hAnsi="宋体" w:cs="宋体" w:hint="eastAsia"/>
          <w:noProof/>
          <w:kern w:val="0"/>
          <w:sz w:val="32"/>
          <w:szCs w:val="32"/>
        </w:rPr>
        <w:lastRenderedPageBreak/>
        <w:drawing>
          <wp:inline distT="0" distB="0" distL="114300" distR="114300" wp14:anchorId="2B2C0199" wp14:editId="52461A01">
            <wp:extent cx="5260340" cy="2493010"/>
            <wp:effectExtent l="0" t="0" r="16510" b="2540"/>
            <wp:docPr id="2" name="图片 2" descr="178943694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9436941915"/>
                    <pic:cNvPicPr>
                      <a:picLocks noChangeAspect="1"/>
                    </pic:cNvPicPr>
                  </pic:nvPicPr>
                  <pic:blipFill>
                    <a:blip r:embed="rId8"/>
                    <a:stretch>
                      <a:fillRect/>
                    </a:stretch>
                  </pic:blipFill>
                  <pic:spPr>
                    <a:xfrm>
                      <a:off x="0" y="0"/>
                      <a:ext cx="5260340" cy="2493010"/>
                    </a:xfrm>
                    <a:prstGeom prst="rect">
                      <a:avLst/>
                    </a:prstGeom>
                  </pic:spPr>
                </pic:pic>
              </a:graphicData>
            </a:graphic>
          </wp:inline>
        </w:drawing>
      </w:r>
    </w:p>
    <w:p w14:paraId="27586609" w14:textId="77777777" w:rsidR="004230E6" w:rsidRDefault="00000000">
      <w:pPr>
        <w:widowControl/>
        <w:spacing w:before="100" w:beforeAutospacing="1" w:after="100" w:afterAutospacing="1" w:line="360" w:lineRule="auto"/>
        <w:ind w:firstLineChars="200" w:firstLine="640"/>
        <w:jc w:val="center"/>
        <w:rPr>
          <w:rFonts w:ascii="宋体" w:eastAsia="宋体" w:hAnsi="宋体" w:cs="宋体" w:hint="eastAsia"/>
          <w:sz w:val="32"/>
          <w:szCs w:val="32"/>
        </w:rPr>
      </w:pPr>
      <w:r>
        <w:rPr>
          <w:rFonts w:ascii="宋体" w:eastAsia="宋体" w:hAnsi="宋体" w:cs="宋体" w:hint="eastAsia"/>
          <w:sz w:val="32"/>
          <w:szCs w:val="32"/>
        </w:rPr>
        <w:t>图1 室内苗期化耐盐筛选体系</w:t>
      </w:r>
    </w:p>
    <w:p w14:paraId="054F374C" w14:textId="77777777" w:rsidR="004230E6" w:rsidRDefault="00000000">
      <w:pPr>
        <w:widowControl/>
        <w:spacing w:before="100" w:beforeAutospacing="1" w:after="100" w:afterAutospacing="1" w:line="360" w:lineRule="auto"/>
        <w:rPr>
          <w:rFonts w:ascii="宋体" w:eastAsia="宋体" w:hAnsi="宋体" w:cs="宋体" w:hint="eastAsia"/>
          <w:sz w:val="32"/>
          <w:szCs w:val="32"/>
        </w:rPr>
      </w:pPr>
      <w:r>
        <w:rPr>
          <w:rFonts w:ascii="宋体" w:eastAsia="宋体" w:hAnsi="宋体" w:cs="宋体" w:hint="eastAsia"/>
          <w:sz w:val="32"/>
          <w:szCs w:val="32"/>
        </w:rPr>
        <w:t>5.2.2禾本科植物苗期耐盐筛选表型</w:t>
      </w:r>
    </w:p>
    <w:p w14:paraId="4B0911C9"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实验对禾本科6类植物进行了系统的盐胁迫分析（图2）。通过设置对照和8个梯度盐浓度处理，并自胁迫开始后每周进行连续表型观测与记录，成功实现了对不同植物盐害发生、发展动态过程的精准观察。结果表明，不同禾本科植物在盐胁迫下表型动态存在差异。在时间维度上，各类植物首次出现可见盐害症状（如叶片失绿、萎蔫、枯萎等）的时间点不同，且盐害程度随胁迫时间延长呈现出规律性加剧，最终可明确识别出各物种表型差异最显著、最利于鉴别分类的最佳观察时间窗口为处理4周-5周。在浓度维度上，通过对比不同盐浓度下植物的最终存活率与生长状况，成功确定了每类植物的耐盐阈值范围。</w:t>
      </w:r>
    </w:p>
    <w:p w14:paraId="35FC282F" w14:textId="77777777" w:rsidR="004230E6" w:rsidRDefault="00000000">
      <w:pPr>
        <w:widowControl/>
        <w:spacing w:before="100" w:beforeAutospacing="1" w:after="100" w:afterAutospacing="1" w:line="360" w:lineRule="auto"/>
        <w:rPr>
          <w:rFonts w:ascii="宋体" w:eastAsia="宋体" w:hAnsi="宋体" w:cs="宋体" w:hint="eastAsia"/>
          <w:kern w:val="0"/>
          <w:sz w:val="32"/>
          <w:szCs w:val="32"/>
        </w:rPr>
      </w:pPr>
      <w:r>
        <w:rPr>
          <w:rFonts w:ascii="宋体" w:eastAsia="宋体" w:hAnsi="宋体" w:cs="宋体" w:hint="eastAsia"/>
          <w:noProof/>
          <w:kern w:val="0"/>
          <w:sz w:val="32"/>
          <w:szCs w:val="32"/>
        </w:rPr>
        <w:lastRenderedPageBreak/>
        <w:drawing>
          <wp:inline distT="0" distB="0" distL="0" distR="0" wp14:anchorId="666086E1" wp14:editId="202362DF">
            <wp:extent cx="5256530" cy="2686685"/>
            <wp:effectExtent l="0" t="0" r="1270" b="18415"/>
            <wp:docPr id="213251797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17977"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96995" cy="2707883"/>
                    </a:xfrm>
                    <a:prstGeom prst="rect">
                      <a:avLst/>
                    </a:prstGeom>
                    <a:noFill/>
                  </pic:spPr>
                </pic:pic>
              </a:graphicData>
            </a:graphic>
          </wp:inline>
        </w:drawing>
      </w:r>
    </w:p>
    <w:p w14:paraId="259E5696" w14:textId="77777777" w:rsidR="004230E6" w:rsidRDefault="00000000">
      <w:pPr>
        <w:widowControl/>
        <w:spacing w:before="100" w:beforeAutospacing="1" w:after="100" w:afterAutospacing="1" w:line="360" w:lineRule="auto"/>
        <w:ind w:firstLineChars="200" w:firstLine="640"/>
        <w:jc w:val="center"/>
        <w:rPr>
          <w:rFonts w:ascii="宋体" w:eastAsia="宋体" w:hAnsi="宋体" w:cs="宋体" w:hint="eastAsia"/>
          <w:sz w:val="32"/>
          <w:szCs w:val="32"/>
        </w:rPr>
      </w:pPr>
      <w:r>
        <w:rPr>
          <w:rFonts w:ascii="宋体" w:eastAsia="宋体" w:hAnsi="宋体" w:cs="宋体" w:hint="eastAsia"/>
          <w:sz w:val="32"/>
          <w:szCs w:val="32"/>
        </w:rPr>
        <w:t>图2禾本科6类植物系统的盐胁迫分析</w:t>
      </w:r>
    </w:p>
    <w:p w14:paraId="466C8538" w14:textId="77777777" w:rsidR="004230E6" w:rsidRDefault="00000000">
      <w:pPr>
        <w:widowControl/>
        <w:spacing w:before="100" w:beforeAutospacing="1" w:after="100" w:afterAutospacing="1" w:line="360" w:lineRule="auto"/>
        <w:rPr>
          <w:rFonts w:ascii="宋体" w:eastAsia="宋体" w:hAnsi="宋体" w:cs="宋体" w:hint="eastAsia"/>
          <w:sz w:val="32"/>
          <w:szCs w:val="32"/>
        </w:rPr>
      </w:pPr>
      <w:r>
        <w:rPr>
          <w:rFonts w:ascii="宋体" w:eastAsia="宋体" w:hAnsi="宋体" w:cs="宋体" w:hint="eastAsia"/>
          <w:sz w:val="32"/>
          <w:szCs w:val="32"/>
        </w:rPr>
        <w:t>5.2.3豆科植物苗期耐盐筛选表型</w:t>
      </w:r>
    </w:p>
    <w:p w14:paraId="4C3F8F2F"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实验对豆科6类植物进行了系统的盐胁迫分析（图3）。通过设置对照和8个梯度盐浓度处理，并自胁迫开始后每周进行连续表型观测与记录，成功实现了对不同植物盐害发生、发展动态过程的精准观察。结果表明，不同豆科植物在盐胁迫下表型动态存在差异。在时间维度上，豆科植物首次出现可见盐害症状（如叶片失绿、萎蔫、枯萎等）的时间点不同，木豆在处理1周即出现明显的盐害表型，光叶紫光苕、箭舌豌豆和绿肥毛苕子在处理2周出现明显的盐害表型。盐害程度随胁迫时间延长呈现出规律性加剧，最终可明确识别出各物种表型差异最显著、最利于鉴别分类的最佳观察时间窗口为处理2周-3周。</w:t>
      </w:r>
    </w:p>
    <w:p w14:paraId="3D64CFBF" w14:textId="77777777" w:rsidR="004230E6" w:rsidRDefault="00000000">
      <w:pPr>
        <w:widowControl/>
        <w:spacing w:before="100" w:beforeAutospacing="1" w:after="100" w:afterAutospacing="1" w:line="360" w:lineRule="auto"/>
        <w:rPr>
          <w:rFonts w:ascii="宋体" w:eastAsia="宋体" w:hAnsi="宋体" w:cs="宋体" w:hint="eastAsia"/>
          <w:kern w:val="0"/>
          <w:sz w:val="32"/>
          <w:szCs w:val="32"/>
        </w:rPr>
      </w:pPr>
      <w:r>
        <w:rPr>
          <w:rFonts w:ascii="宋体" w:eastAsia="宋体" w:hAnsi="宋体" w:cs="宋体" w:hint="eastAsia"/>
          <w:noProof/>
          <w:kern w:val="0"/>
          <w:sz w:val="32"/>
          <w:szCs w:val="32"/>
        </w:rPr>
        <w:lastRenderedPageBreak/>
        <w:drawing>
          <wp:inline distT="0" distB="0" distL="0" distR="0" wp14:anchorId="0894C587" wp14:editId="4E6A8E94">
            <wp:extent cx="5274310" cy="2541270"/>
            <wp:effectExtent l="0" t="0" r="2540" b="0"/>
            <wp:docPr id="224173350" name="图片 7" descr="图片包含 华美, 游戏机, 火车, 食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73350" name="图片 7" descr="图片包含 华美, 游戏机, 火车, 食物&#10;&#10;AI 生成的内容可能不正确。"/>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2541270"/>
                    </a:xfrm>
                    <a:prstGeom prst="rect">
                      <a:avLst/>
                    </a:prstGeom>
                    <a:noFill/>
                  </pic:spPr>
                </pic:pic>
              </a:graphicData>
            </a:graphic>
          </wp:inline>
        </w:drawing>
      </w:r>
    </w:p>
    <w:p w14:paraId="5F82ABC6" w14:textId="77777777" w:rsidR="004230E6"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图3豆科4类植物系统的盐胁迫分析</w:t>
      </w:r>
    </w:p>
    <w:p w14:paraId="3304BF85" w14:textId="77777777" w:rsidR="004230E6" w:rsidRDefault="00000000">
      <w:pPr>
        <w:widowControl/>
        <w:spacing w:before="100" w:beforeAutospacing="1" w:after="100" w:afterAutospacing="1" w:line="360" w:lineRule="auto"/>
        <w:rPr>
          <w:rFonts w:ascii="宋体" w:eastAsia="宋体" w:hAnsi="宋体" w:cs="宋体" w:hint="eastAsia"/>
          <w:sz w:val="32"/>
          <w:szCs w:val="32"/>
        </w:rPr>
      </w:pPr>
      <w:r>
        <w:rPr>
          <w:rFonts w:ascii="宋体" w:eastAsia="宋体" w:hAnsi="宋体" w:cs="宋体" w:hint="eastAsia"/>
          <w:sz w:val="32"/>
          <w:szCs w:val="32"/>
        </w:rPr>
        <w:t>5.2.4耐盐筛选体系的性能表现</w:t>
      </w:r>
    </w:p>
    <w:p w14:paraId="58341D11" w14:textId="77777777" w:rsidR="004230E6" w:rsidRDefault="00000000">
      <w:pPr>
        <w:widowControl/>
        <w:spacing w:before="100" w:beforeAutospacing="1" w:after="100" w:afterAutospacing="1"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实验同时对18份田菁种质进行了系统的盐胁迫分析（图4）。通过设置对照和8个梯度盐溶液处理，并自胁迫开始后每周进行连续表型观测与记录，成功实现了对田菁盐害发生、发展动态过程的精准观察。同时，结合筛选鉴定体系的叶绿素荧光测定仪，对盐处理过程中田菁的叶绿素荧光进行了测定，我们获得了其光合系统II（PSII）对胁迫响应的数据。结果表明，叶绿素荧光参数能灵敏、早期地指示田菁的碱胁迫受害程度，并有效区分不同材料的耐受性差异。随着盐处理浓度的升高和胁迫时间的延长，最大光化学效率（Fv/Fm） 和实际光化学效率（Y(II)） 均呈现出规律性下降趋势，这表明PSII反应中心受损，光能转化效率降低。通过分析不同浓度下荧光参数动态变化的</w:t>
      </w:r>
      <w:r>
        <w:rPr>
          <w:rFonts w:ascii="宋体" w:eastAsia="宋体" w:hAnsi="宋体" w:cs="宋体" w:hint="eastAsia"/>
          <w:sz w:val="32"/>
          <w:szCs w:val="32"/>
        </w:rPr>
        <w:lastRenderedPageBreak/>
        <w:t>拐点，我们能够明确田菁的耐盐阈值（图5）。例如，XD-2、XD-4、和XD-5号田菁在200mM以内盐处理下仍有很强的叶绿素荧光值，表明其在该值盐浓度间均耐盐。综上所述，本技术规范将叶绿素荧光测定整合进标准化筛选体系，不仅验证了该技术作为可靠表型指标的敏感性，更重要的是为植物的高通量种质资源筛选提供了关键的生理依据。</w:t>
      </w:r>
    </w:p>
    <w:p w14:paraId="624C0784" w14:textId="77777777" w:rsidR="004230E6" w:rsidRDefault="00000000">
      <w:pPr>
        <w:widowControl/>
        <w:spacing w:before="100" w:beforeAutospacing="1" w:after="100" w:afterAutospacing="1" w:line="360" w:lineRule="auto"/>
        <w:rPr>
          <w:rFonts w:ascii="宋体" w:eastAsia="宋体" w:hAnsi="宋体" w:cs="宋体" w:hint="eastAsia"/>
          <w:b/>
          <w:bCs/>
          <w:kern w:val="0"/>
          <w:sz w:val="32"/>
          <w:szCs w:val="32"/>
        </w:rPr>
      </w:pPr>
      <w:r>
        <w:rPr>
          <w:rFonts w:ascii="宋体" w:eastAsia="宋体" w:hAnsi="宋体" w:cs="宋体" w:hint="eastAsia"/>
          <w:b/>
          <w:bCs/>
          <w:noProof/>
          <w:kern w:val="0"/>
          <w:sz w:val="32"/>
          <w:szCs w:val="32"/>
        </w:rPr>
        <w:drawing>
          <wp:inline distT="0" distB="0" distL="0" distR="0" wp14:anchorId="68ECA8FE" wp14:editId="5A1C0152">
            <wp:extent cx="5353050" cy="2538730"/>
            <wp:effectExtent l="0" t="0" r="0" b="13970"/>
            <wp:docPr id="371063142" name="图片 1" descr="图片包含 食物, 游戏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63142" name="图片 1" descr="图片包含 食物, 游戏机&#10;&#10;AI 生成的内容可能不正确。"/>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0049" cy="2561462"/>
                    </a:xfrm>
                    <a:prstGeom prst="rect">
                      <a:avLst/>
                    </a:prstGeom>
                    <a:noFill/>
                  </pic:spPr>
                </pic:pic>
              </a:graphicData>
            </a:graphic>
          </wp:inline>
        </w:drawing>
      </w:r>
    </w:p>
    <w:p w14:paraId="19C933D7" w14:textId="77777777" w:rsidR="004230E6" w:rsidRDefault="00000000">
      <w:pPr>
        <w:widowControl/>
        <w:spacing w:before="100" w:beforeAutospacing="1" w:after="100" w:afterAutospacing="1" w:line="360" w:lineRule="auto"/>
        <w:jc w:val="center"/>
        <w:rPr>
          <w:rFonts w:ascii="宋体" w:eastAsia="宋体" w:hAnsi="宋体" w:cs="宋体" w:hint="eastAsia"/>
          <w:kern w:val="0"/>
          <w:sz w:val="32"/>
          <w:szCs w:val="32"/>
        </w:rPr>
      </w:pPr>
      <w:r>
        <w:rPr>
          <w:rFonts w:ascii="宋体" w:eastAsia="宋体" w:hAnsi="宋体" w:cs="宋体" w:hint="eastAsia"/>
          <w:sz w:val="32"/>
          <w:szCs w:val="32"/>
        </w:rPr>
        <w:t>图4 18份田菁种质的耐盐筛选表型</w:t>
      </w:r>
    </w:p>
    <w:p w14:paraId="56D66D43" w14:textId="77777777" w:rsidR="004230E6" w:rsidRDefault="00000000">
      <w:pPr>
        <w:widowControl/>
        <w:spacing w:before="100" w:beforeAutospacing="1" w:after="100" w:afterAutospacing="1" w:line="360" w:lineRule="auto"/>
        <w:ind w:left="360"/>
        <w:rPr>
          <w:rFonts w:ascii="宋体" w:eastAsia="宋体" w:hAnsi="宋体" w:cs="宋体" w:hint="eastAsia"/>
          <w:b/>
          <w:bCs/>
          <w:kern w:val="0"/>
          <w:sz w:val="32"/>
          <w:szCs w:val="32"/>
        </w:rPr>
      </w:pPr>
      <w:r>
        <w:rPr>
          <w:rFonts w:ascii="宋体" w:eastAsia="宋体" w:hAnsi="宋体" w:cs="宋体" w:hint="eastAsia"/>
          <w:b/>
          <w:bCs/>
          <w:noProof/>
          <w:kern w:val="0"/>
          <w:sz w:val="32"/>
          <w:szCs w:val="32"/>
        </w:rPr>
        <w:lastRenderedPageBreak/>
        <w:drawing>
          <wp:inline distT="0" distB="0" distL="0" distR="0" wp14:anchorId="7F6B99F3" wp14:editId="5DFE0672">
            <wp:extent cx="4906645" cy="8227060"/>
            <wp:effectExtent l="0" t="0" r="0" b="2540"/>
            <wp:docPr id="5876747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74797"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906645" cy="8227060"/>
                    </a:xfrm>
                    <a:prstGeom prst="rect">
                      <a:avLst/>
                    </a:prstGeom>
                    <a:noFill/>
                  </pic:spPr>
                </pic:pic>
              </a:graphicData>
            </a:graphic>
          </wp:inline>
        </w:drawing>
      </w:r>
    </w:p>
    <w:p w14:paraId="7B2A78FB" w14:textId="77777777" w:rsidR="004230E6"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图5 18份田菁种质的耐盐筛选过程中叶绿素荧光测定</w:t>
      </w:r>
    </w:p>
    <w:p w14:paraId="277026A0" w14:textId="77777777" w:rsidR="004230E6" w:rsidRDefault="00000000">
      <w:pPr>
        <w:widowControl/>
        <w:spacing w:before="100" w:beforeAutospacing="1" w:after="100" w:afterAutospacing="1" w:line="360" w:lineRule="auto"/>
        <w:jc w:val="left"/>
        <w:rPr>
          <w:rFonts w:ascii="宋体" w:eastAsia="宋体" w:hAnsi="宋体" w:cs="宋体" w:hint="eastAsia"/>
          <w:sz w:val="32"/>
          <w:szCs w:val="32"/>
        </w:rPr>
      </w:pPr>
      <w:r>
        <w:rPr>
          <w:rFonts w:ascii="宋体" w:eastAsia="宋体" w:hAnsi="宋体" w:cs="宋体" w:hint="eastAsia"/>
          <w:sz w:val="32"/>
          <w:szCs w:val="32"/>
        </w:rPr>
        <w:lastRenderedPageBreak/>
        <w:t>5.2.5系统性鉴定植物的耐盐性并评价耐盐等级</w:t>
      </w:r>
    </w:p>
    <w:p w14:paraId="1486A244" w14:textId="77777777" w:rsidR="004230E6" w:rsidRDefault="00000000">
      <w:pPr>
        <w:widowControl/>
        <w:spacing w:before="100" w:beforeAutospacing="1" w:after="100" w:afterAutospacing="1" w:line="360" w:lineRule="auto"/>
        <w:ind w:firstLineChars="200" w:firstLine="640"/>
        <w:jc w:val="left"/>
        <w:rPr>
          <w:rFonts w:ascii="宋体" w:eastAsia="宋体" w:hAnsi="宋体" w:cs="宋体" w:hint="eastAsia"/>
          <w:sz w:val="32"/>
          <w:szCs w:val="32"/>
        </w:rPr>
      </w:pPr>
      <w:r>
        <w:rPr>
          <w:rFonts w:ascii="宋体" w:eastAsia="宋体" w:hAnsi="宋体" w:cs="宋体" w:hint="eastAsia"/>
          <w:sz w:val="32"/>
          <w:szCs w:val="32"/>
        </w:rPr>
        <w:t>该技术规范既能筛选出耐盐性较好的禾本科植株，也能筛选出对盐浓度较敏感的豆科植物，对于筛选耐盐和敏感植物具有普适性。采用该技术规范完成45种不同物种的植物的耐盐性状进行筛选（表1），通过整盆试验，每周拍照获得表型图片，采用目视估测依据表 2对每一材料每一浓度处理的植株群体进行长势等级判定（表4）。同时在处理4-6周时采集叶绿素荧光值（图6）作为判定耐盐性表型的依据。对照组 CK 的 Fv/Fm 介于 0.6578～0.8309（中位 0.7894），CK 长势等级为正常，表明苗期生长正常、本底一致。上述 CK 数据显示，不同材料在未受胁迫时，Fv/Fm 本底值相差达 0.1731（0.6578～0.8309）。若直接以绝对 Fv/Fm 作为唯一判据，本底偏低而胁迫应答良好的材料会被系统性低估，本底偏高的材料则可能漏判。引入 CK 作同一时期、同一材料的内部参照后，RF 消除了材料本底差异与测定批次误差，使胁迫效应得以横向比较，故本标准将其列为单点判定的核心指标（公式 1），并与绝对阈值并行，避免 RF 在 CK 本身异常时被放大或掩盖。</w:t>
      </w:r>
    </w:p>
    <w:p w14:paraId="0C0BD1E3" w14:textId="77777777" w:rsidR="004230E6" w:rsidRDefault="004230E6">
      <w:pPr>
        <w:widowControl/>
        <w:spacing w:before="100" w:beforeAutospacing="1" w:after="100" w:afterAutospacing="1" w:line="360" w:lineRule="auto"/>
        <w:ind w:firstLineChars="200" w:firstLine="640"/>
        <w:jc w:val="center"/>
        <w:rPr>
          <w:rFonts w:ascii="宋体" w:eastAsia="宋体" w:hAnsi="宋体" w:cs="宋体" w:hint="eastAsia"/>
          <w:sz w:val="32"/>
          <w:szCs w:val="32"/>
        </w:rPr>
      </w:pPr>
    </w:p>
    <w:p w14:paraId="3C7FBA5F" w14:textId="77777777" w:rsidR="004230E6" w:rsidRDefault="004230E6">
      <w:pPr>
        <w:widowControl/>
        <w:spacing w:before="100" w:beforeAutospacing="1" w:after="100" w:afterAutospacing="1" w:line="360" w:lineRule="auto"/>
        <w:rPr>
          <w:rFonts w:ascii="宋体" w:eastAsia="宋体" w:hAnsi="宋体" w:cs="宋体" w:hint="eastAsia"/>
          <w:sz w:val="32"/>
          <w:szCs w:val="32"/>
        </w:rPr>
      </w:pPr>
    </w:p>
    <w:p w14:paraId="0B1D9E3D" w14:textId="77777777" w:rsidR="004230E6" w:rsidRDefault="00000000">
      <w:pPr>
        <w:widowControl/>
        <w:spacing w:before="100" w:beforeAutospacing="1" w:after="100" w:afterAutospacing="1"/>
        <w:jc w:val="center"/>
        <w:rPr>
          <w:rFonts w:ascii="宋体" w:eastAsia="宋体" w:hAnsi="宋体" w:cs="宋体" w:hint="eastAsia"/>
          <w:sz w:val="32"/>
          <w:szCs w:val="32"/>
        </w:rPr>
      </w:pPr>
      <w:r>
        <w:rPr>
          <w:rFonts w:ascii="宋体" w:eastAsia="宋体" w:hAnsi="宋体" w:cs="宋体" w:hint="eastAsia"/>
          <w:sz w:val="32"/>
          <w:szCs w:val="32"/>
        </w:rPr>
        <w:lastRenderedPageBreak/>
        <w:t>表4 45份参试植物材料的长势等级</w:t>
      </w:r>
    </w:p>
    <w:tbl>
      <w:tblPr>
        <w:tblpPr w:leftFromText="180" w:rightFromText="180" w:vertAnchor="text" w:horzAnchor="page" w:tblpX="1549" w:tblpY="895"/>
        <w:tblOverlap w:val="never"/>
        <w:tblW w:w="8542" w:type="dxa"/>
        <w:tblLayout w:type="fixed"/>
        <w:tblLook w:val="04A0" w:firstRow="1" w:lastRow="0" w:firstColumn="1" w:lastColumn="0" w:noHBand="0" w:noVBand="1"/>
      </w:tblPr>
      <w:tblGrid>
        <w:gridCol w:w="892"/>
        <w:gridCol w:w="525"/>
        <w:gridCol w:w="747"/>
        <w:gridCol w:w="854"/>
        <w:gridCol w:w="887"/>
        <w:gridCol w:w="875"/>
        <w:gridCol w:w="912"/>
        <w:gridCol w:w="950"/>
        <w:gridCol w:w="913"/>
        <w:gridCol w:w="987"/>
      </w:tblGrid>
      <w:tr w:rsidR="004230E6" w14:paraId="65799486" w14:textId="77777777">
        <w:trPr>
          <w:trHeight w:val="576"/>
        </w:trPr>
        <w:tc>
          <w:tcPr>
            <w:tcW w:w="892" w:type="dxa"/>
            <w:tcBorders>
              <w:top w:val="single" w:sz="4" w:space="0" w:color="auto"/>
              <w:left w:val="single" w:sz="4" w:space="0" w:color="BFBFBF"/>
              <w:bottom w:val="single" w:sz="4" w:space="0" w:color="auto"/>
              <w:right w:val="single" w:sz="4" w:space="0" w:color="BFBFBF"/>
            </w:tcBorders>
            <w:noWrap/>
            <w:vAlign w:val="center"/>
          </w:tcPr>
          <w:p w14:paraId="0A4C47D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材料</w:t>
            </w:r>
          </w:p>
        </w:tc>
        <w:tc>
          <w:tcPr>
            <w:tcW w:w="525" w:type="dxa"/>
            <w:tcBorders>
              <w:top w:val="single" w:sz="4" w:space="0" w:color="auto"/>
              <w:left w:val="single" w:sz="4" w:space="0" w:color="BFBFBF"/>
              <w:bottom w:val="single" w:sz="4" w:space="0" w:color="auto"/>
              <w:right w:val="single" w:sz="4" w:space="0" w:color="BFBFBF"/>
            </w:tcBorders>
            <w:noWrap/>
            <w:vAlign w:val="center"/>
          </w:tcPr>
          <w:p w14:paraId="2B6C564D"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CK</w:t>
            </w:r>
          </w:p>
        </w:tc>
        <w:tc>
          <w:tcPr>
            <w:tcW w:w="747" w:type="dxa"/>
            <w:tcBorders>
              <w:top w:val="single" w:sz="4" w:space="0" w:color="auto"/>
              <w:left w:val="single" w:sz="4" w:space="0" w:color="BFBFBF"/>
              <w:bottom w:val="single" w:sz="4" w:space="0" w:color="auto"/>
              <w:right w:val="single" w:sz="4" w:space="0" w:color="BFBFBF"/>
            </w:tcBorders>
            <w:noWrap/>
            <w:vAlign w:val="center"/>
          </w:tcPr>
          <w:p w14:paraId="763789FB"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50 mmol/L</w:t>
            </w:r>
          </w:p>
        </w:tc>
        <w:tc>
          <w:tcPr>
            <w:tcW w:w="854" w:type="dxa"/>
            <w:tcBorders>
              <w:top w:val="single" w:sz="4" w:space="0" w:color="auto"/>
              <w:left w:val="single" w:sz="4" w:space="0" w:color="BFBFBF"/>
              <w:bottom w:val="single" w:sz="4" w:space="0" w:color="auto"/>
              <w:right w:val="single" w:sz="4" w:space="0" w:color="BFBFBF"/>
            </w:tcBorders>
            <w:noWrap/>
            <w:vAlign w:val="center"/>
          </w:tcPr>
          <w:p w14:paraId="4BB5635C"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100 mmol/L</w:t>
            </w:r>
          </w:p>
        </w:tc>
        <w:tc>
          <w:tcPr>
            <w:tcW w:w="887" w:type="dxa"/>
            <w:tcBorders>
              <w:top w:val="single" w:sz="4" w:space="0" w:color="auto"/>
              <w:left w:val="single" w:sz="4" w:space="0" w:color="BFBFBF"/>
              <w:bottom w:val="single" w:sz="4" w:space="0" w:color="auto"/>
              <w:right w:val="single" w:sz="4" w:space="0" w:color="BFBFBF"/>
            </w:tcBorders>
            <w:noWrap/>
            <w:vAlign w:val="center"/>
          </w:tcPr>
          <w:p w14:paraId="08B19FF6"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150 mmol/L</w:t>
            </w:r>
          </w:p>
        </w:tc>
        <w:tc>
          <w:tcPr>
            <w:tcW w:w="875" w:type="dxa"/>
            <w:tcBorders>
              <w:top w:val="single" w:sz="4" w:space="0" w:color="auto"/>
              <w:left w:val="single" w:sz="4" w:space="0" w:color="BFBFBF"/>
              <w:bottom w:val="single" w:sz="4" w:space="0" w:color="auto"/>
              <w:right w:val="single" w:sz="4" w:space="0" w:color="BFBFBF"/>
            </w:tcBorders>
            <w:noWrap/>
            <w:vAlign w:val="center"/>
          </w:tcPr>
          <w:p w14:paraId="2152442F"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200 mmol/L</w:t>
            </w:r>
          </w:p>
        </w:tc>
        <w:tc>
          <w:tcPr>
            <w:tcW w:w="912" w:type="dxa"/>
            <w:tcBorders>
              <w:top w:val="single" w:sz="4" w:space="0" w:color="auto"/>
              <w:left w:val="single" w:sz="4" w:space="0" w:color="BFBFBF"/>
              <w:bottom w:val="single" w:sz="4" w:space="0" w:color="auto"/>
              <w:right w:val="single" w:sz="4" w:space="0" w:color="BFBFBF"/>
            </w:tcBorders>
            <w:noWrap/>
            <w:vAlign w:val="center"/>
          </w:tcPr>
          <w:p w14:paraId="6C0E922B"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400 mmol/L</w:t>
            </w:r>
          </w:p>
        </w:tc>
        <w:tc>
          <w:tcPr>
            <w:tcW w:w="950" w:type="dxa"/>
            <w:tcBorders>
              <w:top w:val="single" w:sz="4" w:space="0" w:color="auto"/>
              <w:left w:val="single" w:sz="4" w:space="0" w:color="BFBFBF"/>
              <w:bottom w:val="single" w:sz="4" w:space="0" w:color="auto"/>
              <w:right w:val="single" w:sz="4" w:space="0" w:color="BFBFBF"/>
            </w:tcBorders>
            <w:noWrap/>
            <w:vAlign w:val="center"/>
          </w:tcPr>
          <w:p w14:paraId="060A6653"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600 mmol/L</w:t>
            </w:r>
          </w:p>
        </w:tc>
        <w:tc>
          <w:tcPr>
            <w:tcW w:w="913" w:type="dxa"/>
            <w:tcBorders>
              <w:top w:val="single" w:sz="4" w:space="0" w:color="auto"/>
              <w:left w:val="single" w:sz="4" w:space="0" w:color="BFBFBF"/>
              <w:bottom w:val="single" w:sz="4" w:space="0" w:color="auto"/>
              <w:right w:val="single" w:sz="4" w:space="0" w:color="BFBFBF"/>
            </w:tcBorders>
            <w:noWrap/>
            <w:vAlign w:val="center"/>
          </w:tcPr>
          <w:p w14:paraId="58042471"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800 mmol/L</w:t>
            </w:r>
          </w:p>
        </w:tc>
        <w:tc>
          <w:tcPr>
            <w:tcW w:w="987" w:type="dxa"/>
            <w:tcBorders>
              <w:top w:val="single" w:sz="4" w:space="0" w:color="auto"/>
              <w:left w:val="single" w:sz="4" w:space="0" w:color="BFBFBF"/>
              <w:bottom w:val="single" w:sz="4" w:space="0" w:color="auto"/>
              <w:right w:val="single" w:sz="4" w:space="0" w:color="BFBFBF"/>
            </w:tcBorders>
            <w:noWrap/>
            <w:vAlign w:val="center"/>
          </w:tcPr>
          <w:p w14:paraId="31F6D5EC" w14:textId="77777777" w:rsidR="004230E6" w:rsidRDefault="00000000">
            <w:pPr>
              <w:widowControl/>
              <w:jc w:val="center"/>
              <w:textAlignment w:val="center"/>
              <w:rPr>
                <w:rFonts w:ascii="宋体" w:eastAsia="宋体" w:hAnsi="宋体" w:cs="宋体" w:hint="eastAsia"/>
                <w:b/>
                <w:bCs/>
                <w:color w:val="000000"/>
                <w:szCs w:val="21"/>
              </w:rPr>
            </w:pPr>
            <w:r>
              <w:rPr>
                <w:rFonts w:ascii="宋体" w:eastAsia="宋体" w:hAnsi="宋体" w:cs="宋体" w:hint="eastAsia"/>
                <w:b/>
                <w:bCs/>
                <w:color w:val="000000"/>
                <w:kern w:val="0"/>
                <w:szCs w:val="21"/>
                <w:lang w:bidi="ar"/>
              </w:rPr>
              <w:t>1000 mmol/L</w:t>
            </w:r>
          </w:p>
        </w:tc>
      </w:tr>
      <w:tr w:rsidR="004230E6" w14:paraId="2850F277" w14:textId="77777777">
        <w:trPr>
          <w:trHeight w:val="303"/>
        </w:trPr>
        <w:tc>
          <w:tcPr>
            <w:tcW w:w="892" w:type="dxa"/>
            <w:tcBorders>
              <w:top w:val="single" w:sz="4" w:space="0" w:color="auto"/>
              <w:left w:val="single" w:sz="4" w:space="0" w:color="BFBFBF"/>
              <w:bottom w:val="single" w:sz="4" w:space="0" w:color="BFBFBF"/>
              <w:right w:val="single" w:sz="4" w:space="0" w:color="BFBFBF"/>
            </w:tcBorders>
            <w:noWrap/>
            <w:vAlign w:val="center"/>
          </w:tcPr>
          <w:p w14:paraId="0443D81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稗草</w:t>
            </w:r>
          </w:p>
        </w:tc>
        <w:tc>
          <w:tcPr>
            <w:tcW w:w="525" w:type="dxa"/>
            <w:tcBorders>
              <w:top w:val="single" w:sz="4" w:space="0" w:color="auto"/>
              <w:left w:val="single" w:sz="4" w:space="0" w:color="BFBFBF"/>
              <w:bottom w:val="single" w:sz="4" w:space="0" w:color="BFBFBF"/>
              <w:right w:val="single" w:sz="4" w:space="0" w:color="BFBFBF"/>
            </w:tcBorders>
            <w:noWrap/>
            <w:vAlign w:val="center"/>
          </w:tcPr>
          <w:p w14:paraId="39C4893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auto"/>
              <w:left w:val="single" w:sz="4" w:space="0" w:color="BFBFBF"/>
              <w:bottom w:val="single" w:sz="4" w:space="0" w:color="BFBFBF"/>
              <w:right w:val="single" w:sz="4" w:space="0" w:color="BFBFBF"/>
            </w:tcBorders>
            <w:noWrap/>
            <w:vAlign w:val="center"/>
          </w:tcPr>
          <w:p w14:paraId="43D0238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auto"/>
              <w:left w:val="single" w:sz="4" w:space="0" w:color="BFBFBF"/>
              <w:bottom w:val="single" w:sz="4" w:space="0" w:color="BFBFBF"/>
              <w:right w:val="single" w:sz="4" w:space="0" w:color="BFBFBF"/>
            </w:tcBorders>
            <w:noWrap/>
            <w:vAlign w:val="center"/>
          </w:tcPr>
          <w:p w14:paraId="22EF95C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auto"/>
              <w:left w:val="single" w:sz="4" w:space="0" w:color="BFBFBF"/>
              <w:bottom w:val="single" w:sz="4" w:space="0" w:color="BFBFBF"/>
              <w:right w:val="single" w:sz="4" w:space="0" w:color="BFBFBF"/>
            </w:tcBorders>
            <w:noWrap/>
            <w:vAlign w:val="center"/>
          </w:tcPr>
          <w:p w14:paraId="5C520C2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auto"/>
              <w:left w:val="single" w:sz="4" w:space="0" w:color="BFBFBF"/>
              <w:bottom w:val="single" w:sz="4" w:space="0" w:color="BFBFBF"/>
              <w:right w:val="single" w:sz="4" w:space="0" w:color="BFBFBF"/>
            </w:tcBorders>
            <w:noWrap/>
            <w:vAlign w:val="center"/>
          </w:tcPr>
          <w:p w14:paraId="52A8D64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auto"/>
              <w:left w:val="single" w:sz="4" w:space="0" w:color="BFBFBF"/>
              <w:bottom w:val="single" w:sz="4" w:space="0" w:color="BFBFBF"/>
              <w:right w:val="single" w:sz="4" w:space="0" w:color="BFBFBF"/>
            </w:tcBorders>
            <w:noWrap/>
            <w:vAlign w:val="center"/>
          </w:tcPr>
          <w:p w14:paraId="3230949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auto"/>
              <w:left w:val="single" w:sz="4" w:space="0" w:color="BFBFBF"/>
              <w:bottom w:val="single" w:sz="4" w:space="0" w:color="BFBFBF"/>
              <w:right w:val="single" w:sz="4" w:space="0" w:color="BFBFBF"/>
            </w:tcBorders>
            <w:noWrap/>
            <w:vAlign w:val="center"/>
          </w:tcPr>
          <w:p w14:paraId="0CC247C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auto"/>
              <w:left w:val="single" w:sz="4" w:space="0" w:color="BFBFBF"/>
              <w:bottom w:val="single" w:sz="4" w:space="0" w:color="BFBFBF"/>
              <w:right w:val="single" w:sz="4" w:space="0" w:color="BFBFBF"/>
            </w:tcBorders>
            <w:noWrap/>
            <w:vAlign w:val="center"/>
          </w:tcPr>
          <w:p w14:paraId="1448FAC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auto"/>
              <w:left w:val="single" w:sz="4" w:space="0" w:color="BFBFBF"/>
              <w:bottom w:val="single" w:sz="4" w:space="0" w:color="BFBFBF"/>
              <w:right w:val="single" w:sz="4" w:space="0" w:color="BFBFBF"/>
            </w:tcBorders>
            <w:noWrap/>
            <w:vAlign w:val="center"/>
          </w:tcPr>
          <w:p w14:paraId="4EC9A1C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55ED64F5"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4472938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朝鲜碱茅</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A9262C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5CE46A1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1C71A0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E3E22F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0CFF57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45095FC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13AC24F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4E121A1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77F33A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1C4151F0"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0F46FC4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垂披碱草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3149BBA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4B12A3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BAE834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0EF5D9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9E71E8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28C3B9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48D663D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63C24A4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FA9B2E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53DB79B4"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10F12DF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地肤</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F7E3FE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965E6C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5552DE5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6728BA9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08B574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C9EF9A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19DC7FD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B2144D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65A5E2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7FC70C4D"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25D8BF5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地榆</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730408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127193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3FEF4A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56FB66F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5A98DC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54B033A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6B96D6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2A6A79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1E7814E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33146F2E" w14:textId="77777777">
        <w:trPr>
          <w:trHeight w:val="850"/>
        </w:trPr>
        <w:tc>
          <w:tcPr>
            <w:tcW w:w="892" w:type="dxa"/>
            <w:tcBorders>
              <w:top w:val="single" w:sz="4" w:space="0" w:color="BFBFBF"/>
              <w:left w:val="single" w:sz="4" w:space="0" w:color="BFBFBF"/>
              <w:bottom w:val="single" w:sz="4" w:space="0" w:color="BFBFBF"/>
              <w:right w:val="single" w:sz="4" w:space="0" w:color="BFBFBF"/>
            </w:tcBorders>
            <w:noWrap/>
            <w:vAlign w:val="center"/>
          </w:tcPr>
          <w:p w14:paraId="122FE82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短芒大麦草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52E8DAB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4A1C203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40D71A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2CD843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156BB9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767D99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612594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08F6FAB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5FC173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60A6B643"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31FA006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肥披碱草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5EEDDD8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657B49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DB8FCE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CCBB65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3E1DE6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C326BA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55871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D0A366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BD5B5A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3050B99F"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76AB061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高粱</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A14E9A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F54BB7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0A840C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31CA2B3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33E8F92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BAA558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09F32F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674212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02897B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1C9C5662"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23EDCB7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狗尾草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4A2D5F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5F740B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97B94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350E765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6DE9A5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24D3879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205AE7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0F0288F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6F4DF42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29336122"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34AABBC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红豆草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4F19FE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14900AA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4F5892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A9C5B6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B6ACF4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B9F1A0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1B7728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5B2D23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8380C0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02ECF2B4"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33222C5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虎尾草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10C016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049E0F8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EC587D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3AF994A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3C9B2E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BE1EE2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57A805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279AADE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40F1D8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0F5B39FF"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5727A67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灰绿藜</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729796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D24077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A3E406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7139C53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504F133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49FF46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76EDBD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42F4C68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37234A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r>
      <w:tr w:rsidR="004230E6" w14:paraId="71AE1B73"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39CCB61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碱蓬</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D73658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4F09E01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8E62D6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16926A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9FCCB2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7209917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741F8D2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977E1A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71953B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730F24A3"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3F6007E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苦豆子</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621C364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F5C452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1D685F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5DDE64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37D44AD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6647342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4A7A7A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ED7D7C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97E083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r>
      <w:tr w:rsidR="004230E6" w14:paraId="43068439"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26FD73A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葵花</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6449CF6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EA6ECD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4DA1F4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1EEE887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3FF4F98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4152C1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B4896B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AC9CA3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A5F3F2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3F167A6"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6C0B5C5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赖草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AE35DF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4F97874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032E308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1E093EB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63B7630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D5FA42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929D32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449718C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39D487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016994CF"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0F223F8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冷蒿</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FEBA0A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D7F814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F908E9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7BAF71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AA53A9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FC49C0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4A279B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824D5D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382BBFC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E34BB49"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4A7E764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藜麦</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08D758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DE20C7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404FE0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2E9259C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3F8B6EE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632A698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D20846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383CA5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1F5651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r>
      <w:tr w:rsidR="004230E6" w14:paraId="47142826"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4801D0B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罗勒</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8B1A7D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27FEFD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2121E38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2C23722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66DE815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115555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A77461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CC9B52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1369C3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6C197E4E"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6B5513C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lastRenderedPageBreak/>
              <w:t>骆驼蓬</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39E5325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8C99E3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59C7263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8126A2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57ED69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6DFA83A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3E9A0EC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73622F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32E73CE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01AD5218"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290F5C3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棉花</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D526B3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DE7519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5E32651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E5E50E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3532E7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792AAF6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7597B4E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80485B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089CDE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F3CBE40"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71330C2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苜宿</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E661F2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EC68DD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23D179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5CBE366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839B24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28795C1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2CE68F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39ED08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EB2DFB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4A3145AC"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585B907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柠条</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BC2F35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10FE019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B908F9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73E09BF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ACC615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5DBE53B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99F686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2375231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5FD003D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2129621B"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5F4AB22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披碱草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FA12D6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5579AD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CDBFC7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5E70B99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58CD2B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267B74F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6942149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271C08C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9893E5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66BF61A5"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4BA558D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沙打旺</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14DD7F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426310D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D8A20C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6719861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5939A83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3F76F5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167663C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6DD70C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83B51D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282CBC13"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5711EE2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山韭</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65EA27A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2FF470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6555EF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42A02A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AB3919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75E4083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481B398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77C033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4B94D7E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FF62433"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5737ECF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山毛豆</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78B4F5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566FCD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A3D654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062575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7BE621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7DC5643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18A19E3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0B3F8BE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1FE71AA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5C8F7811"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20D7A6D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水稗草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C27AE8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95ECAD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4980EC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87C4B2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235CD77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BC39D9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A81991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8DC305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237AA5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539D4EFE"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06FE0CB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水稻</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5B3A17C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5EAF04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B4FB96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3C89304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60E487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CFE14C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A700EB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7F0E54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F97F4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240FFD9C"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54EC470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田菁</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76CDE5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76995A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7434F6D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2EEDB75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09EA75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1185C92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482F1C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3E81340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7DB501B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41E4B7B7"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148116A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驼绒藜</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374DC08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CDF008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5224624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58DB4E2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053155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E67D57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3075557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205C1C7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8BC7BC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3AF5C4D"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7E68B31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苋</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1AB110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AB9490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1338BA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1182488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4E257DB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F53EBE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18DFFB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F98FB6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AF1A76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10137812"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2974DFE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小黑麦</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3BF34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5950F56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1E3FA0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71FC283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1A0F83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475E3AA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4FD043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996986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1608D2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49D40BF3"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55F203C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小麦</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4088072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D87CB9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D9A714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8F9136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6692E8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5C29E28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4DE442D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48E4035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6E623D3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095CBF5A"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66DB4B8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新麦草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05EC991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0B9B92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500211E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7A75658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4C4654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7D6F079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78457F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B30A7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3499BFB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D54258D"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46259A7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星星草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BA2A41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197EB5D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2D11DF2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21A9C46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8E0DEA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5CAF68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4660598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958857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5405CB4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61BEE07A"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20318C5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荨麻</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7E25BE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1EC3C0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4EC8B31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48B303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6AC5133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257F9E32"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BE49D0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C6936E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6B6D78C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6B392D65"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72B68A1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盐地碱蓬</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5FDCE2D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7F7DC7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AD203E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25EC3E4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31E450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6B4B9E9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4F111BB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E603EB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D532ED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r>
      <w:tr w:rsidR="004230E6" w14:paraId="4DCC870E"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0B8F717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偃麦草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90143D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09465D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381502E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191CA75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7B4D800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6734DC2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71EE1E0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5702E14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2489995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r>
      <w:tr w:rsidR="004230E6" w14:paraId="6FA692BB"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3A6605D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羊草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6FBF10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3A5BBD5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6C7C8EC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17F052D"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0F6338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02404B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0D5755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18039D8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5DBE7BF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56969864"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6457FC0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野韭</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E6D832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6A4C148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03BC57D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6B82699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051965D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3A65254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5552E5E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684AF76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1F03245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71693A64" w14:textId="77777777">
        <w:trPr>
          <w:trHeight w:val="303"/>
        </w:trPr>
        <w:tc>
          <w:tcPr>
            <w:tcW w:w="892" w:type="dxa"/>
            <w:tcBorders>
              <w:top w:val="single" w:sz="4" w:space="0" w:color="BFBFBF"/>
              <w:left w:val="single" w:sz="4" w:space="0" w:color="BFBFBF"/>
              <w:bottom w:val="single" w:sz="4" w:space="0" w:color="BFBFBF"/>
              <w:right w:val="single" w:sz="4" w:space="0" w:color="BFBFBF"/>
            </w:tcBorders>
            <w:noWrap/>
            <w:vAlign w:val="center"/>
          </w:tcPr>
          <w:p w14:paraId="6A610C4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油菜</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28217C8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7B3145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C21456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436F249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9DB1E2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0620969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B3DB8D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79E98485"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E8DCFCA"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3E6EC37F" w14:textId="77777777">
        <w:trPr>
          <w:trHeight w:val="576"/>
        </w:trPr>
        <w:tc>
          <w:tcPr>
            <w:tcW w:w="892" w:type="dxa"/>
            <w:tcBorders>
              <w:top w:val="single" w:sz="4" w:space="0" w:color="BFBFBF"/>
              <w:left w:val="single" w:sz="4" w:space="0" w:color="BFBFBF"/>
              <w:bottom w:val="single" w:sz="4" w:space="0" w:color="BFBFBF"/>
              <w:right w:val="single" w:sz="4" w:space="0" w:color="BFBFBF"/>
            </w:tcBorders>
            <w:noWrap/>
            <w:vAlign w:val="center"/>
          </w:tcPr>
          <w:p w14:paraId="6CF20F8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紫花苜蓿</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1D49A76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2DA7BE4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173CB6C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0F3C3D6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150CFEE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2E9B8CE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2079617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6B9D137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04013C3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06E5E9DB" w14:textId="77777777">
        <w:trPr>
          <w:trHeight w:val="850"/>
        </w:trPr>
        <w:tc>
          <w:tcPr>
            <w:tcW w:w="892" w:type="dxa"/>
            <w:tcBorders>
              <w:top w:val="single" w:sz="4" w:space="0" w:color="BFBFBF"/>
              <w:left w:val="single" w:sz="4" w:space="0" w:color="BFBFBF"/>
              <w:bottom w:val="single" w:sz="4" w:space="0" w:color="BFBFBF"/>
              <w:right w:val="single" w:sz="4" w:space="0" w:color="BFBFBF"/>
            </w:tcBorders>
            <w:noWrap/>
            <w:vAlign w:val="center"/>
          </w:tcPr>
          <w:p w14:paraId="3A4EB29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lastRenderedPageBreak/>
              <w:t>紫芒披碱草</w:t>
            </w:r>
          </w:p>
        </w:tc>
        <w:tc>
          <w:tcPr>
            <w:tcW w:w="525" w:type="dxa"/>
            <w:tcBorders>
              <w:top w:val="single" w:sz="4" w:space="0" w:color="BFBFBF"/>
              <w:left w:val="single" w:sz="4" w:space="0" w:color="BFBFBF"/>
              <w:bottom w:val="single" w:sz="4" w:space="0" w:color="BFBFBF"/>
              <w:right w:val="single" w:sz="4" w:space="0" w:color="BFBFBF"/>
            </w:tcBorders>
            <w:noWrap/>
            <w:vAlign w:val="center"/>
          </w:tcPr>
          <w:p w14:paraId="7826CB7B"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BFBFBF"/>
              <w:right w:val="single" w:sz="4" w:space="0" w:color="BFBFBF"/>
            </w:tcBorders>
            <w:noWrap/>
            <w:vAlign w:val="center"/>
          </w:tcPr>
          <w:p w14:paraId="0359327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BFBFBF"/>
              <w:right w:val="single" w:sz="4" w:space="0" w:color="BFBFBF"/>
            </w:tcBorders>
            <w:noWrap/>
            <w:vAlign w:val="center"/>
          </w:tcPr>
          <w:p w14:paraId="0FF18740"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BFBFBF"/>
              <w:right w:val="single" w:sz="4" w:space="0" w:color="BFBFBF"/>
            </w:tcBorders>
            <w:noWrap/>
            <w:vAlign w:val="center"/>
          </w:tcPr>
          <w:p w14:paraId="3FDE666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875" w:type="dxa"/>
            <w:tcBorders>
              <w:top w:val="single" w:sz="4" w:space="0" w:color="BFBFBF"/>
              <w:left w:val="single" w:sz="4" w:space="0" w:color="BFBFBF"/>
              <w:bottom w:val="single" w:sz="4" w:space="0" w:color="BFBFBF"/>
              <w:right w:val="single" w:sz="4" w:space="0" w:color="BFBFBF"/>
            </w:tcBorders>
            <w:noWrap/>
            <w:vAlign w:val="center"/>
          </w:tcPr>
          <w:p w14:paraId="520C956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2" w:type="dxa"/>
            <w:tcBorders>
              <w:top w:val="single" w:sz="4" w:space="0" w:color="BFBFBF"/>
              <w:left w:val="single" w:sz="4" w:space="0" w:color="BFBFBF"/>
              <w:bottom w:val="single" w:sz="4" w:space="0" w:color="BFBFBF"/>
              <w:right w:val="single" w:sz="4" w:space="0" w:color="BFBFBF"/>
            </w:tcBorders>
            <w:noWrap/>
            <w:vAlign w:val="center"/>
          </w:tcPr>
          <w:p w14:paraId="47CC6B8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50" w:type="dxa"/>
            <w:tcBorders>
              <w:top w:val="single" w:sz="4" w:space="0" w:color="BFBFBF"/>
              <w:left w:val="single" w:sz="4" w:space="0" w:color="BFBFBF"/>
              <w:bottom w:val="single" w:sz="4" w:space="0" w:color="BFBFBF"/>
              <w:right w:val="single" w:sz="4" w:space="0" w:color="BFBFBF"/>
            </w:tcBorders>
            <w:noWrap/>
            <w:vAlign w:val="center"/>
          </w:tcPr>
          <w:p w14:paraId="0846157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13" w:type="dxa"/>
            <w:tcBorders>
              <w:top w:val="single" w:sz="4" w:space="0" w:color="BFBFBF"/>
              <w:left w:val="single" w:sz="4" w:space="0" w:color="BFBFBF"/>
              <w:bottom w:val="single" w:sz="4" w:space="0" w:color="BFBFBF"/>
              <w:right w:val="single" w:sz="4" w:space="0" w:color="BFBFBF"/>
            </w:tcBorders>
            <w:noWrap/>
            <w:vAlign w:val="center"/>
          </w:tcPr>
          <w:p w14:paraId="03B1BCD7"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c>
          <w:tcPr>
            <w:tcW w:w="987" w:type="dxa"/>
            <w:tcBorders>
              <w:top w:val="single" w:sz="4" w:space="0" w:color="BFBFBF"/>
              <w:left w:val="single" w:sz="4" w:space="0" w:color="BFBFBF"/>
              <w:bottom w:val="single" w:sz="4" w:space="0" w:color="BFBFBF"/>
              <w:right w:val="single" w:sz="4" w:space="0" w:color="BFBFBF"/>
            </w:tcBorders>
            <w:noWrap/>
            <w:vAlign w:val="center"/>
          </w:tcPr>
          <w:p w14:paraId="54A63256"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r w:rsidR="004230E6" w14:paraId="13AC02F3" w14:textId="77777777">
        <w:trPr>
          <w:trHeight w:val="603"/>
        </w:trPr>
        <w:tc>
          <w:tcPr>
            <w:tcW w:w="892" w:type="dxa"/>
            <w:tcBorders>
              <w:top w:val="single" w:sz="4" w:space="0" w:color="BFBFBF"/>
              <w:left w:val="single" w:sz="4" w:space="0" w:color="BFBFBF"/>
              <w:bottom w:val="single" w:sz="4" w:space="0" w:color="auto"/>
              <w:right w:val="single" w:sz="4" w:space="0" w:color="BFBFBF"/>
            </w:tcBorders>
            <w:noWrap/>
            <w:vAlign w:val="center"/>
          </w:tcPr>
          <w:p w14:paraId="3D493D8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紫穗槐</w:t>
            </w:r>
          </w:p>
        </w:tc>
        <w:tc>
          <w:tcPr>
            <w:tcW w:w="525" w:type="dxa"/>
            <w:tcBorders>
              <w:top w:val="single" w:sz="4" w:space="0" w:color="BFBFBF"/>
              <w:left w:val="single" w:sz="4" w:space="0" w:color="BFBFBF"/>
              <w:bottom w:val="single" w:sz="4" w:space="0" w:color="auto"/>
              <w:right w:val="single" w:sz="4" w:space="0" w:color="BFBFBF"/>
            </w:tcBorders>
            <w:noWrap/>
            <w:vAlign w:val="center"/>
          </w:tcPr>
          <w:p w14:paraId="3DC9CB51"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正常</w:t>
            </w:r>
          </w:p>
        </w:tc>
        <w:tc>
          <w:tcPr>
            <w:tcW w:w="747" w:type="dxa"/>
            <w:tcBorders>
              <w:top w:val="single" w:sz="4" w:space="0" w:color="BFBFBF"/>
              <w:left w:val="single" w:sz="4" w:space="0" w:color="BFBFBF"/>
              <w:bottom w:val="single" w:sz="4" w:space="0" w:color="auto"/>
              <w:right w:val="single" w:sz="4" w:space="0" w:color="BFBFBF"/>
            </w:tcBorders>
            <w:noWrap/>
            <w:vAlign w:val="center"/>
          </w:tcPr>
          <w:p w14:paraId="0189BE84"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54" w:type="dxa"/>
            <w:tcBorders>
              <w:top w:val="single" w:sz="4" w:space="0" w:color="BFBFBF"/>
              <w:left w:val="single" w:sz="4" w:space="0" w:color="BFBFBF"/>
              <w:bottom w:val="single" w:sz="4" w:space="0" w:color="auto"/>
              <w:right w:val="single" w:sz="4" w:space="0" w:color="BFBFBF"/>
            </w:tcBorders>
            <w:noWrap/>
            <w:vAlign w:val="center"/>
          </w:tcPr>
          <w:p w14:paraId="1C5E8A7F"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87" w:type="dxa"/>
            <w:tcBorders>
              <w:top w:val="single" w:sz="4" w:space="0" w:color="BFBFBF"/>
              <w:left w:val="single" w:sz="4" w:space="0" w:color="BFBFBF"/>
              <w:bottom w:val="single" w:sz="4" w:space="0" w:color="auto"/>
              <w:right w:val="single" w:sz="4" w:space="0" w:color="BFBFBF"/>
            </w:tcBorders>
            <w:noWrap/>
            <w:vAlign w:val="center"/>
          </w:tcPr>
          <w:p w14:paraId="71F3FAF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875" w:type="dxa"/>
            <w:tcBorders>
              <w:top w:val="single" w:sz="4" w:space="0" w:color="BFBFBF"/>
              <w:left w:val="single" w:sz="4" w:space="0" w:color="BFBFBF"/>
              <w:bottom w:val="single" w:sz="4" w:space="0" w:color="auto"/>
              <w:right w:val="single" w:sz="4" w:space="0" w:color="BFBFBF"/>
            </w:tcBorders>
            <w:noWrap/>
            <w:vAlign w:val="center"/>
          </w:tcPr>
          <w:p w14:paraId="37F07A83"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Ⅰ</w:t>
            </w:r>
          </w:p>
        </w:tc>
        <w:tc>
          <w:tcPr>
            <w:tcW w:w="912" w:type="dxa"/>
            <w:tcBorders>
              <w:top w:val="single" w:sz="4" w:space="0" w:color="BFBFBF"/>
              <w:left w:val="single" w:sz="4" w:space="0" w:color="BFBFBF"/>
              <w:bottom w:val="single" w:sz="4" w:space="0" w:color="auto"/>
              <w:right w:val="single" w:sz="4" w:space="0" w:color="BFBFBF"/>
            </w:tcBorders>
            <w:noWrap/>
            <w:vAlign w:val="center"/>
          </w:tcPr>
          <w:p w14:paraId="1F98D779"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50" w:type="dxa"/>
            <w:tcBorders>
              <w:top w:val="single" w:sz="4" w:space="0" w:color="BFBFBF"/>
              <w:left w:val="single" w:sz="4" w:space="0" w:color="BFBFBF"/>
              <w:bottom w:val="single" w:sz="4" w:space="0" w:color="auto"/>
              <w:right w:val="single" w:sz="4" w:space="0" w:color="BFBFBF"/>
            </w:tcBorders>
            <w:noWrap/>
            <w:vAlign w:val="center"/>
          </w:tcPr>
          <w:p w14:paraId="458EF54E"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Ⅱ</w:t>
            </w:r>
          </w:p>
        </w:tc>
        <w:tc>
          <w:tcPr>
            <w:tcW w:w="913" w:type="dxa"/>
            <w:tcBorders>
              <w:top w:val="single" w:sz="4" w:space="0" w:color="BFBFBF"/>
              <w:left w:val="single" w:sz="4" w:space="0" w:color="BFBFBF"/>
              <w:bottom w:val="single" w:sz="4" w:space="0" w:color="auto"/>
              <w:right w:val="single" w:sz="4" w:space="0" w:color="BFBFBF"/>
            </w:tcBorders>
            <w:noWrap/>
            <w:vAlign w:val="center"/>
          </w:tcPr>
          <w:p w14:paraId="18657B98"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Ⅲ</w:t>
            </w:r>
          </w:p>
        </w:tc>
        <w:tc>
          <w:tcPr>
            <w:tcW w:w="987" w:type="dxa"/>
            <w:tcBorders>
              <w:top w:val="single" w:sz="4" w:space="0" w:color="BFBFBF"/>
              <w:left w:val="single" w:sz="4" w:space="0" w:color="BFBFBF"/>
              <w:bottom w:val="single" w:sz="4" w:space="0" w:color="auto"/>
              <w:right w:val="single" w:sz="4" w:space="0" w:color="BFBFBF"/>
            </w:tcBorders>
            <w:noWrap/>
            <w:vAlign w:val="center"/>
          </w:tcPr>
          <w:p w14:paraId="084329EC" w14:textId="77777777" w:rsidR="004230E6"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Ⅳ</w:t>
            </w:r>
          </w:p>
        </w:tc>
      </w:tr>
    </w:tbl>
    <w:p w14:paraId="48F9F14E" w14:textId="77777777" w:rsidR="004230E6" w:rsidRDefault="004230E6">
      <w:pPr>
        <w:widowControl/>
        <w:spacing w:before="100" w:beforeAutospacing="1" w:after="100" w:afterAutospacing="1" w:line="360" w:lineRule="auto"/>
        <w:jc w:val="left"/>
        <w:rPr>
          <w:rFonts w:ascii="宋体" w:eastAsia="宋体" w:hAnsi="宋体" w:cs="宋体" w:hint="eastAsia"/>
          <w:sz w:val="32"/>
          <w:szCs w:val="32"/>
        </w:rPr>
      </w:pPr>
    </w:p>
    <w:p w14:paraId="37AB0CB0" w14:textId="77777777" w:rsidR="004230E6" w:rsidRDefault="00000000">
      <w:pPr>
        <w:widowControl/>
        <w:spacing w:before="100" w:beforeAutospacing="1" w:after="100" w:afterAutospacing="1" w:line="360" w:lineRule="auto"/>
        <w:jc w:val="left"/>
        <w:rPr>
          <w:rFonts w:hint="eastAsia"/>
        </w:rPr>
      </w:pPr>
      <w:r>
        <w:rPr>
          <w:noProof/>
        </w:rPr>
        <w:drawing>
          <wp:inline distT="0" distB="0" distL="114300" distR="114300" wp14:anchorId="754A3753" wp14:editId="3B396B48">
            <wp:extent cx="5165090" cy="5382260"/>
            <wp:effectExtent l="0" t="0" r="1651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5165090" cy="5382260"/>
                    </a:xfrm>
                    <a:prstGeom prst="rect">
                      <a:avLst/>
                    </a:prstGeom>
                  </pic:spPr>
                </pic:pic>
              </a:graphicData>
            </a:graphic>
          </wp:inline>
        </w:drawing>
      </w:r>
    </w:p>
    <w:p w14:paraId="38127D20" w14:textId="77777777" w:rsidR="004230E6"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图6 45份参试植物材料的叶绿素荧光绝对值条形图</w:t>
      </w:r>
    </w:p>
    <w:p w14:paraId="38570F84" w14:textId="77777777" w:rsidR="004230E6" w:rsidRDefault="00000000">
      <w:pPr>
        <w:widowControl/>
        <w:spacing w:before="100" w:beforeAutospacing="1" w:after="100" w:afterAutospacing="1" w:line="360" w:lineRule="auto"/>
        <w:jc w:val="center"/>
        <w:rPr>
          <w:rFonts w:hint="eastAsia"/>
        </w:rPr>
      </w:pPr>
      <w:r>
        <w:rPr>
          <w:noProof/>
        </w:rPr>
        <w:lastRenderedPageBreak/>
        <w:drawing>
          <wp:inline distT="0" distB="0" distL="114300" distR="114300" wp14:anchorId="24D57403" wp14:editId="2BD05C2D">
            <wp:extent cx="5293995" cy="5518150"/>
            <wp:effectExtent l="0" t="0" r="1905" b="635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4"/>
                    <a:stretch>
                      <a:fillRect/>
                    </a:stretch>
                  </pic:blipFill>
                  <pic:spPr>
                    <a:xfrm>
                      <a:off x="0" y="0"/>
                      <a:ext cx="5293995" cy="5518150"/>
                    </a:xfrm>
                    <a:prstGeom prst="rect">
                      <a:avLst/>
                    </a:prstGeom>
                  </pic:spPr>
                </pic:pic>
              </a:graphicData>
            </a:graphic>
          </wp:inline>
        </w:drawing>
      </w:r>
    </w:p>
    <w:p w14:paraId="7EFAFB17" w14:textId="77777777" w:rsidR="004230E6"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图7 45份参试植物材料的叶绿素荧光相对值（RF）条形图</w:t>
      </w:r>
    </w:p>
    <w:p w14:paraId="7D7F8DC6" w14:textId="77777777" w:rsidR="004230E6" w:rsidRDefault="00000000">
      <w:pPr>
        <w:widowControl/>
        <w:spacing w:before="100" w:beforeAutospacing="1" w:after="100" w:afterAutospacing="1" w:line="360" w:lineRule="auto"/>
        <w:jc w:val="left"/>
        <w:rPr>
          <w:rFonts w:ascii="宋体" w:eastAsia="宋体" w:hAnsi="宋体" w:cs="宋体" w:hint="eastAsia"/>
          <w:sz w:val="32"/>
          <w:szCs w:val="32"/>
        </w:rPr>
      </w:pPr>
      <w:r>
        <w:rPr>
          <w:rFonts w:hint="eastAsia"/>
        </w:rPr>
        <w:t xml:space="preserve">   </w:t>
      </w:r>
      <w:r>
        <w:rPr>
          <w:rFonts w:ascii="宋体" w:eastAsia="宋体" w:hAnsi="宋体" w:cs="宋体" w:hint="eastAsia"/>
          <w:sz w:val="32"/>
          <w:szCs w:val="32"/>
        </w:rPr>
        <w:t xml:space="preserve">    </w:t>
      </w:r>
      <w:r>
        <w:rPr>
          <w:rFonts w:ascii="宋体" w:eastAsia="宋体" w:hAnsi="宋体" w:cs="宋体"/>
          <w:sz w:val="32"/>
          <w:szCs w:val="32"/>
        </w:rPr>
        <w:t>单点耐盐等级判定</w:t>
      </w:r>
      <w:r>
        <w:rPr>
          <w:rFonts w:ascii="宋体" w:eastAsia="宋体" w:hAnsi="宋体" w:cs="宋体" w:hint="eastAsia"/>
          <w:sz w:val="32"/>
          <w:szCs w:val="32"/>
        </w:rPr>
        <w:t>依据表3判定</w:t>
      </w:r>
      <w:r>
        <w:rPr>
          <w:rFonts w:ascii="宋体" w:eastAsia="宋体" w:hAnsi="宋体" w:cs="宋体"/>
          <w:sz w:val="32"/>
          <w:szCs w:val="32"/>
        </w:rPr>
        <w:t>，采用</w:t>
      </w:r>
      <w:r>
        <w:rPr>
          <w:rFonts w:ascii="宋体" w:eastAsia="宋体" w:hAnsi="宋体" w:cs="宋体" w:hint="eastAsia"/>
          <w:sz w:val="32"/>
          <w:szCs w:val="32"/>
        </w:rPr>
        <w:t>表型等级、叶绿素荧光绝对值和相对值RF</w:t>
      </w:r>
      <w:r>
        <w:rPr>
          <w:rFonts w:ascii="宋体" w:eastAsia="宋体" w:hAnsi="宋体" w:cs="宋体"/>
          <w:sz w:val="32"/>
          <w:szCs w:val="32"/>
        </w:rPr>
        <w:t>并行、取较劣者的规则。三</w:t>
      </w:r>
      <w:r>
        <w:rPr>
          <w:rFonts w:ascii="宋体" w:eastAsia="宋体" w:hAnsi="宋体" w:cs="宋体" w:hint="eastAsia"/>
          <w:sz w:val="32"/>
          <w:szCs w:val="32"/>
        </w:rPr>
        <w:t>数据</w:t>
      </w:r>
      <w:r>
        <w:rPr>
          <w:rFonts w:ascii="宋体" w:eastAsia="宋体" w:hAnsi="宋体" w:cs="宋体"/>
          <w:sz w:val="32"/>
          <w:szCs w:val="32"/>
        </w:rPr>
        <w:t>若出现不一致，以序号较劣者作为该材料在该浓度下的最终耐盐等级。按此规则，</w:t>
      </w:r>
      <w:r>
        <w:rPr>
          <w:rFonts w:ascii="宋体" w:eastAsia="宋体" w:hAnsi="宋体" w:cs="宋体" w:hint="eastAsia"/>
          <w:sz w:val="32"/>
          <w:szCs w:val="32"/>
        </w:rPr>
        <w:t>对45份植物材料的耐盐评价进行了等级评价（图7）。</w:t>
      </w:r>
    </w:p>
    <w:p w14:paraId="216EDED7" w14:textId="77777777" w:rsidR="004230E6" w:rsidRDefault="00000000">
      <w:pPr>
        <w:widowControl/>
        <w:spacing w:before="100" w:beforeAutospacing="1" w:after="100" w:afterAutospacing="1" w:line="360" w:lineRule="auto"/>
        <w:jc w:val="left"/>
        <w:rPr>
          <w:rFonts w:hint="eastAsia"/>
        </w:rPr>
      </w:pPr>
      <w:r>
        <w:rPr>
          <w:noProof/>
        </w:rPr>
        <w:lastRenderedPageBreak/>
        <w:drawing>
          <wp:inline distT="0" distB="0" distL="114300" distR="114300" wp14:anchorId="736CEFF4" wp14:editId="353E5A07">
            <wp:extent cx="5179695" cy="6847205"/>
            <wp:effectExtent l="0" t="0" r="1905" b="1079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5"/>
                    <a:srcRect t="8213" r="359"/>
                    <a:stretch>
                      <a:fillRect/>
                    </a:stretch>
                  </pic:blipFill>
                  <pic:spPr>
                    <a:xfrm>
                      <a:off x="0" y="0"/>
                      <a:ext cx="5179695" cy="6847205"/>
                    </a:xfrm>
                    <a:prstGeom prst="rect">
                      <a:avLst/>
                    </a:prstGeom>
                  </pic:spPr>
                </pic:pic>
              </a:graphicData>
            </a:graphic>
          </wp:inline>
        </w:drawing>
      </w:r>
    </w:p>
    <w:p w14:paraId="3567A5F6" w14:textId="77777777" w:rsidR="004230E6" w:rsidRDefault="00000000">
      <w:pPr>
        <w:spacing w:after="120" w:line="360" w:lineRule="auto"/>
        <w:ind w:firstLine="420"/>
        <w:jc w:val="center"/>
        <w:rPr>
          <w:rFonts w:ascii="宋体" w:eastAsia="宋体" w:hAnsi="宋体" w:cs="宋体" w:hint="eastAsia"/>
          <w:sz w:val="32"/>
          <w:szCs w:val="32"/>
        </w:rPr>
      </w:pPr>
      <w:r>
        <w:rPr>
          <w:rFonts w:ascii="宋体" w:eastAsia="宋体" w:hAnsi="宋体" w:cs="宋体" w:hint="eastAsia"/>
          <w:sz w:val="32"/>
          <w:szCs w:val="32"/>
        </w:rPr>
        <w:t>图8 45份参试植物材料逐浓度耐盐等级矩阵</w:t>
      </w:r>
    </w:p>
    <w:p w14:paraId="6456AF9F" w14:textId="77777777" w:rsidR="004230E6" w:rsidRDefault="00000000">
      <w:pPr>
        <w:spacing w:after="120" w:line="360" w:lineRule="auto"/>
        <w:ind w:firstLine="420"/>
        <w:jc w:val="left"/>
        <w:rPr>
          <w:rFonts w:hint="eastAsia"/>
        </w:rPr>
      </w:pPr>
      <w:r>
        <w:rPr>
          <w:rFonts w:ascii="宋体" w:eastAsia="宋体" w:hAnsi="宋体" w:cs="宋体" w:hint="eastAsia"/>
          <w:sz w:val="32"/>
          <w:szCs w:val="32"/>
        </w:rPr>
        <w:t>图 8等级构成随胁迫强度呈规律性递变，强耐盐材料占比由 50 mmol/L 的 78% 降至 1000 mmol/L 的 2%，极敏感材料占比则由 2% 升至 78%。累计降至极敏感的材料占</w:t>
      </w:r>
      <w:r>
        <w:rPr>
          <w:rFonts w:ascii="宋体" w:eastAsia="宋体" w:hAnsi="宋体" w:cs="宋体" w:hint="eastAsia"/>
          <w:sz w:val="32"/>
          <w:szCs w:val="32"/>
        </w:rPr>
        <w:lastRenderedPageBreak/>
        <w:t>比依次为 2%、4%、13%、24%、40%、60%、73%、78%，呈持续上升，说明随胁迫加强材料被逐级淘汰而非齐进齐退。从等级覆盖看，强耐盐、耐盐、中耐盐与极敏感四档在全部 8 个浓度上均有出现，表明该体系耐盐筛选覆盖度大，具有普适性。</w:t>
      </w:r>
    </w:p>
    <w:p w14:paraId="6C9C5E1F" w14:textId="77777777" w:rsidR="004230E6" w:rsidRDefault="00000000">
      <w:pPr>
        <w:widowControl/>
        <w:spacing w:before="100" w:beforeAutospacing="1" w:after="100" w:afterAutospacing="1" w:line="360" w:lineRule="auto"/>
        <w:jc w:val="center"/>
        <w:rPr>
          <w:rFonts w:hint="eastAsia"/>
        </w:rPr>
      </w:pPr>
      <w:r>
        <w:rPr>
          <w:noProof/>
        </w:rPr>
        <w:drawing>
          <wp:inline distT="0" distB="0" distL="114300" distR="114300" wp14:anchorId="34109815" wp14:editId="7BA739CA">
            <wp:extent cx="5388610" cy="2298065"/>
            <wp:effectExtent l="0" t="0" r="2540" b="698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pic:cNvPicPr>
                  </pic:nvPicPr>
                  <pic:blipFill>
                    <a:blip r:embed="rId16"/>
                    <a:srcRect t="21501"/>
                    <a:stretch>
                      <a:fillRect/>
                    </a:stretch>
                  </pic:blipFill>
                  <pic:spPr>
                    <a:xfrm>
                      <a:off x="0" y="0"/>
                      <a:ext cx="5388610" cy="2298065"/>
                    </a:xfrm>
                    <a:prstGeom prst="rect">
                      <a:avLst/>
                    </a:prstGeom>
                  </pic:spPr>
                </pic:pic>
              </a:graphicData>
            </a:graphic>
          </wp:inline>
        </w:drawing>
      </w:r>
    </w:p>
    <w:p w14:paraId="45D3B2AA" w14:textId="77777777" w:rsidR="004230E6" w:rsidRDefault="00000000">
      <w:pPr>
        <w:spacing w:after="120" w:line="360" w:lineRule="auto"/>
        <w:ind w:firstLine="420"/>
        <w:jc w:val="center"/>
        <w:rPr>
          <w:rFonts w:ascii="宋体" w:eastAsia="宋体" w:hAnsi="宋体" w:cs="宋体" w:hint="eastAsia"/>
          <w:sz w:val="32"/>
          <w:szCs w:val="32"/>
        </w:rPr>
      </w:pPr>
      <w:r>
        <w:rPr>
          <w:rFonts w:ascii="宋体" w:eastAsia="宋体" w:hAnsi="宋体" w:cs="宋体" w:hint="eastAsia"/>
          <w:sz w:val="32"/>
          <w:szCs w:val="32"/>
        </w:rPr>
        <w:t>图8 各盐浓度下参试植物材料耐盐等级构成</w:t>
      </w:r>
    </w:p>
    <w:p w14:paraId="6579F0B5"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13" w:name="_Toc203050425"/>
      <w:bookmarkStart w:id="14" w:name="_Toc203050992"/>
      <w:bookmarkStart w:id="15" w:name="_Toc213659366"/>
      <w:r>
        <w:rPr>
          <w:rFonts w:ascii="宋体" w:eastAsia="宋体" w:hAnsi="宋体" w:cs="宋体" w:hint="eastAsia"/>
          <w:b/>
          <w:bCs/>
          <w:kern w:val="44"/>
          <w:sz w:val="28"/>
          <w:szCs w:val="44"/>
        </w:rPr>
        <w:t>重大意见分歧的处理依据和结果</w:t>
      </w:r>
      <w:bookmarkEnd w:id="13"/>
      <w:bookmarkEnd w:id="14"/>
      <w:bookmarkEnd w:id="15"/>
    </w:p>
    <w:p w14:paraId="12143E80" w14:textId="77777777" w:rsidR="004230E6" w:rsidRDefault="00000000">
      <w:pPr>
        <w:pStyle w:val="af3"/>
        <w:spacing w:line="360" w:lineRule="auto"/>
        <w:ind w:left="0" w:firstLineChars="200" w:firstLine="640"/>
        <w:jc w:val="left"/>
        <w:outlineLvl w:val="0"/>
        <w:rPr>
          <w:rFonts w:ascii="宋体" w:eastAsia="宋体" w:hAnsi="宋体" w:cs="宋体" w:hint="eastAsia"/>
          <w:sz w:val="32"/>
          <w:szCs w:val="32"/>
        </w:rPr>
      </w:pPr>
      <w:r>
        <w:rPr>
          <w:rFonts w:ascii="宋体" w:eastAsia="宋体" w:hAnsi="宋体" w:cs="宋体" w:hint="eastAsia"/>
          <w:sz w:val="32"/>
          <w:szCs w:val="32"/>
        </w:rPr>
        <w:t>本次技术规范编制、征求意见及论证过程中，各专家意见整体统一，无重大技术分歧、无原则性争议。针对部分细节优化建议，均结合试验数据、行业规范及实操需求逐一吸纳整改，完善技术规范内容，形成统一、规范的最终文本。</w:t>
      </w:r>
      <w:bookmarkStart w:id="16" w:name="_Toc213659367"/>
    </w:p>
    <w:p w14:paraId="2DAE79CF" w14:textId="77777777" w:rsidR="004230E6" w:rsidRDefault="004230E6">
      <w:pPr>
        <w:pStyle w:val="af3"/>
        <w:spacing w:line="360" w:lineRule="auto"/>
        <w:ind w:left="0" w:firstLineChars="200" w:firstLine="640"/>
        <w:jc w:val="left"/>
        <w:outlineLvl w:val="0"/>
        <w:rPr>
          <w:rFonts w:ascii="宋体" w:eastAsia="宋体" w:hAnsi="宋体" w:cs="宋体" w:hint="eastAsia"/>
          <w:sz w:val="32"/>
          <w:szCs w:val="32"/>
        </w:rPr>
      </w:pPr>
    </w:p>
    <w:p w14:paraId="1983D4B7"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r>
        <w:rPr>
          <w:rFonts w:ascii="宋体" w:eastAsia="宋体" w:hAnsi="宋体" w:cs="宋体" w:hint="eastAsia"/>
          <w:b/>
          <w:bCs/>
          <w:kern w:val="44"/>
          <w:sz w:val="28"/>
          <w:szCs w:val="44"/>
        </w:rPr>
        <w:t>采用国际标准或国外先进标准的，说明采标程度，以及国内外同类标准水平的对比情况。</w:t>
      </w:r>
      <w:bookmarkEnd w:id="16"/>
    </w:p>
    <w:p w14:paraId="71843423" w14:textId="77777777" w:rsidR="004230E6" w:rsidRDefault="00000000">
      <w:pPr>
        <w:snapToGrid w:val="0"/>
        <w:spacing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lastRenderedPageBreak/>
        <w:t>本技术规范编制过程非等效采用国际种子检验协会（ISTA）发布的《International Rules for Seed Testing 2021》（2021版国际种子检验规范），借鉴其种子检验、幼苗培育等通用试验规范，结合植物苗期耐盐筛选试验实际条件制定，整体技术指标与国际同类标准接轨。</w:t>
      </w:r>
    </w:p>
    <w:p w14:paraId="77D123BD" w14:textId="77777777" w:rsidR="004230E6" w:rsidRDefault="004230E6">
      <w:pPr>
        <w:snapToGrid w:val="0"/>
        <w:spacing w:line="360" w:lineRule="auto"/>
        <w:ind w:firstLineChars="200" w:firstLine="640"/>
        <w:rPr>
          <w:rFonts w:ascii="宋体" w:eastAsia="宋体" w:hAnsi="宋体" w:cs="宋体" w:hint="eastAsia"/>
          <w:sz w:val="32"/>
          <w:szCs w:val="32"/>
        </w:rPr>
      </w:pPr>
    </w:p>
    <w:p w14:paraId="2D5501C6"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17" w:name="_Toc213659368"/>
      <w:bookmarkStart w:id="18" w:name="_Toc203050994"/>
      <w:bookmarkStart w:id="19" w:name="_Toc203050427"/>
      <w:r>
        <w:rPr>
          <w:rFonts w:ascii="宋体" w:eastAsia="宋体" w:hAnsi="宋体" w:cs="宋体" w:hint="eastAsia"/>
          <w:b/>
          <w:bCs/>
          <w:kern w:val="44"/>
          <w:sz w:val="28"/>
          <w:szCs w:val="44"/>
        </w:rPr>
        <w:t>贯彻标准的措施建议</w:t>
      </w:r>
      <w:bookmarkEnd w:id="17"/>
      <w:bookmarkEnd w:id="18"/>
      <w:bookmarkEnd w:id="19"/>
    </w:p>
    <w:p w14:paraId="3131C300" w14:textId="77777777" w:rsidR="004230E6" w:rsidRDefault="00000000">
      <w:pPr>
        <w:pStyle w:val="af3"/>
        <w:spacing w:line="360" w:lineRule="auto"/>
        <w:ind w:left="0" w:firstLineChars="200" w:firstLine="640"/>
        <w:jc w:val="left"/>
        <w:outlineLvl w:val="0"/>
        <w:rPr>
          <w:rFonts w:ascii="宋体" w:eastAsia="宋体" w:hAnsi="宋体" w:cs="宋体" w:hint="eastAsia"/>
          <w:sz w:val="32"/>
          <w:szCs w:val="32"/>
        </w:rPr>
      </w:pPr>
      <w:r>
        <w:rPr>
          <w:rFonts w:ascii="宋体" w:eastAsia="宋体" w:hAnsi="宋体" w:cs="宋体" w:hint="eastAsia"/>
          <w:sz w:val="32"/>
          <w:szCs w:val="32"/>
        </w:rPr>
        <w:t>将本技术规范应用于盐碱地植物筛选、种质资源评价等相关试验与工程实践；依托试验基地开展示范应用，逐步推广标准化筛选技术，提升国内盐碱植物抗性评价规范化水平。</w:t>
      </w:r>
    </w:p>
    <w:p w14:paraId="5D12A812" w14:textId="77777777" w:rsidR="004230E6" w:rsidRDefault="004230E6">
      <w:pPr>
        <w:pStyle w:val="af3"/>
        <w:spacing w:line="360" w:lineRule="auto"/>
        <w:ind w:left="0" w:firstLineChars="200" w:firstLine="640"/>
        <w:jc w:val="left"/>
        <w:outlineLvl w:val="0"/>
        <w:rPr>
          <w:rFonts w:ascii="宋体" w:eastAsia="宋体" w:hAnsi="宋体" w:cs="宋体" w:hint="eastAsia"/>
          <w:sz w:val="32"/>
          <w:szCs w:val="32"/>
        </w:rPr>
      </w:pPr>
    </w:p>
    <w:p w14:paraId="2FC6A8E9" w14:textId="77777777" w:rsidR="004230E6" w:rsidRDefault="00000000">
      <w:pPr>
        <w:pStyle w:val="af3"/>
        <w:numPr>
          <w:ilvl w:val="0"/>
          <w:numId w:val="2"/>
        </w:numPr>
        <w:spacing w:line="360" w:lineRule="auto"/>
        <w:jc w:val="left"/>
        <w:outlineLvl w:val="0"/>
        <w:rPr>
          <w:rFonts w:ascii="宋体" w:eastAsia="宋体" w:hAnsi="宋体" w:cs="宋体" w:hint="eastAsia"/>
          <w:b/>
          <w:bCs/>
          <w:kern w:val="44"/>
          <w:sz w:val="28"/>
          <w:szCs w:val="44"/>
        </w:rPr>
      </w:pPr>
      <w:bookmarkStart w:id="20" w:name="_Toc203050995"/>
      <w:bookmarkStart w:id="21" w:name="_Toc203050428"/>
      <w:bookmarkStart w:id="22" w:name="_Toc213659369"/>
      <w:r>
        <w:rPr>
          <w:rFonts w:ascii="宋体" w:eastAsia="宋体" w:hAnsi="宋体" w:cs="宋体" w:hint="eastAsia"/>
          <w:b/>
          <w:bCs/>
          <w:kern w:val="44"/>
          <w:sz w:val="28"/>
          <w:szCs w:val="44"/>
        </w:rPr>
        <w:t>其他应说明的事项</w:t>
      </w:r>
      <w:bookmarkEnd w:id="20"/>
      <w:bookmarkEnd w:id="21"/>
      <w:bookmarkEnd w:id="22"/>
    </w:p>
    <w:p w14:paraId="734ABB79" w14:textId="77777777" w:rsidR="004230E6" w:rsidRDefault="00000000">
      <w:pPr>
        <w:spacing w:line="360" w:lineRule="auto"/>
        <w:ind w:firstLineChars="200" w:firstLine="640"/>
        <w:rPr>
          <w:rFonts w:ascii="宋体" w:eastAsia="宋体" w:hAnsi="宋体" w:cs="宋体" w:hint="eastAsia"/>
          <w:bCs/>
          <w:sz w:val="32"/>
          <w:szCs w:val="32"/>
        </w:rPr>
      </w:pPr>
      <w:r>
        <w:rPr>
          <w:rFonts w:ascii="宋体" w:eastAsia="宋体" w:hAnsi="宋体" w:cs="宋体" w:hint="eastAsia"/>
          <w:bCs/>
          <w:sz w:val="32"/>
          <w:szCs w:val="32"/>
        </w:rPr>
        <w:t>无其他需要特殊说明的事项</w:t>
      </w:r>
    </w:p>
    <w:p w14:paraId="15070014" w14:textId="77777777" w:rsidR="004230E6" w:rsidRDefault="004230E6">
      <w:pPr>
        <w:spacing w:line="360" w:lineRule="auto"/>
        <w:ind w:firstLineChars="200" w:firstLine="640"/>
        <w:rPr>
          <w:rFonts w:ascii="宋体" w:eastAsia="宋体" w:hAnsi="宋体" w:cs="宋体" w:hint="eastAsia"/>
          <w:bCs/>
          <w:sz w:val="32"/>
          <w:szCs w:val="32"/>
        </w:rPr>
      </w:pPr>
    </w:p>
    <w:p w14:paraId="489AC121" w14:textId="77777777" w:rsidR="004230E6" w:rsidRDefault="004230E6">
      <w:pPr>
        <w:spacing w:line="360" w:lineRule="auto"/>
        <w:ind w:firstLineChars="200" w:firstLine="640"/>
        <w:rPr>
          <w:rFonts w:ascii="宋体" w:eastAsia="宋体" w:hAnsi="宋体" w:cs="宋体" w:hint="eastAsia"/>
          <w:bCs/>
          <w:sz w:val="32"/>
          <w:szCs w:val="32"/>
        </w:rPr>
      </w:pPr>
    </w:p>
    <w:p w14:paraId="73EFDBDD" w14:textId="77777777" w:rsidR="004230E6" w:rsidRDefault="004230E6">
      <w:pPr>
        <w:spacing w:line="360" w:lineRule="auto"/>
        <w:ind w:firstLineChars="200" w:firstLine="640"/>
        <w:rPr>
          <w:rFonts w:ascii="宋体" w:eastAsia="宋体" w:hAnsi="宋体" w:cs="宋体" w:hint="eastAsia"/>
          <w:bCs/>
          <w:sz w:val="32"/>
          <w:szCs w:val="32"/>
        </w:rPr>
      </w:pPr>
    </w:p>
    <w:p w14:paraId="53D2950F" w14:textId="77777777" w:rsidR="004230E6" w:rsidRDefault="004230E6">
      <w:pPr>
        <w:spacing w:line="360" w:lineRule="auto"/>
        <w:ind w:firstLineChars="200" w:firstLine="640"/>
        <w:rPr>
          <w:rFonts w:ascii="宋体" w:eastAsia="宋体" w:hAnsi="宋体" w:cs="宋体" w:hint="eastAsia"/>
          <w:bCs/>
          <w:sz w:val="32"/>
          <w:szCs w:val="32"/>
        </w:rPr>
      </w:pPr>
    </w:p>
    <w:p w14:paraId="50AD5051" w14:textId="77777777" w:rsidR="004230E6" w:rsidRDefault="004230E6">
      <w:pPr>
        <w:spacing w:line="360" w:lineRule="auto"/>
        <w:ind w:firstLineChars="200" w:firstLine="640"/>
        <w:rPr>
          <w:rFonts w:ascii="宋体" w:eastAsia="宋体" w:hAnsi="宋体" w:cs="宋体" w:hint="eastAsia"/>
          <w:bCs/>
          <w:sz w:val="32"/>
          <w:szCs w:val="32"/>
        </w:rPr>
      </w:pPr>
    </w:p>
    <w:p w14:paraId="23EF1489" w14:textId="77777777" w:rsidR="004230E6" w:rsidRDefault="004230E6">
      <w:pPr>
        <w:spacing w:line="360" w:lineRule="auto"/>
        <w:ind w:firstLineChars="200" w:firstLine="640"/>
        <w:rPr>
          <w:rFonts w:ascii="宋体" w:eastAsia="宋体" w:hAnsi="宋体" w:cs="宋体" w:hint="eastAsia"/>
          <w:bCs/>
          <w:sz w:val="32"/>
          <w:szCs w:val="32"/>
        </w:rPr>
      </w:pPr>
    </w:p>
    <w:p w14:paraId="25F38ED5" w14:textId="77777777" w:rsidR="004230E6" w:rsidRDefault="004230E6">
      <w:pPr>
        <w:spacing w:line="360" w:lineRule="auto"/>
        <w:ind w:firstLineChars="200" w:firstLine="640"/>
        <w:rPr>
          <w:rFonts w:ascii="宋体" w:eastAsia="宋体" w:hAnsi="宋体" w:cs="宋体" w:hint="eastAsia"/>
          <w:bCs/>
          <w:sz w:val="32"/>
          <w:szCs w:val="32"/>
        </w:rPr>
      </w:pPr>
    </w:p>
    <w:p w14:paraId="0BBB4AAA" w14:textId="77777777" w:rsidR="004230E6" w:rsidRDefault="004230E6">
      <w:pPr>
        <w:spacing w:line="360" w:lineRule="auto"/>
        <w:rPr>
          <w:rFonts w:ascii="宋体" w:eastAsia="宋体" w:hAnsi="宋体" w:cs="宋体" w:hint="eastAsia"/>
          <w:bCs/>
          <w:sz w:val="32"/>
          <w:szCs w:val="32"/>
        </w:rPr>
      </w:pPr>
    </w:p>
    <w:sectPr w:rsidR="004230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D1A71" w14:textId="77777777" w:rsidR="005E1545" w:rsidRDefault="005E1545" w:rsidP="00360DE6">
      <w:pPr>
        <w:rPr>
          <w:rFonts w:hint="eastAsia"/>
        </w:rPr>
      </w:pPr>
      <w:r>
        <w:separator/>
      </w:r>
    </w:p>
  </w:endnote>
  <w:endnote w:type="continuationSeparator" w:id="0">
    <w:p w14:paraId="1D37D8C7" w14:textId="77777777" w:rsidR="005E1545" w:rsidRDefault="005E1545" w:rsidP="00360D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1DFA1" w14:textId="77777777" w:rsidR="005E1545" w:rsidRDefault="005E1545" w:rsidP="00360DE6">
      <w:pPr>
        <w:rPr>
          <w:rFonts w:hint="eastAsia"/>
        </w:rPr>
      </w:pPr>
      <w:r>
        <w:separator/>
      </w:r>
    </w:p>
  </w:footnote>
  <w:footnote w:type="continuationSeparator" w:id="0">
    <w:p w14:paraId="76D59DDC" w14:textId="77777777" w:rsidR="005E1545" w:rsidRDefault="005E1545" w:rsidP="00360DE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A5E8B1"/>
    <w:multiLevelType w:val="singleLevel"/>
    <w:tmpl w:val="C9A5E8B1"/>
    <w:lvl w:ilvl="0">
      <w:start w:val="2"/>
      <w:numFmt w:val="decimal"/>
      <w:suff w:val="space"/>
      <w:lvlText w:val="%1."/>
      <w:lvlJc w:val="left"/>
    </w:lvl>
  </w:abstractNum>
  <w:abstractNum w:abstractNumId="1"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
      <w:suff w:val="nothing"/>
      <w:lvlText w:val="%1%2　"/>
      <w:lvlJc w:val="left"/>
      <w:pPr>
        <w:ind w:left="0" w:firstLine="0"/>
      </w:pPr>
      <w:rPr>
        <w:rFonts w:ascii="黑体" w:eastAsia="黑体" w:hint="eastAsia"/>
        <w:b w:val="0"/>
        <w:i w:val="0"/>
        <w:sz w:val="21"/>
      </w:rPr>
    </w:lvl>
    <w:lvl w:ilvl="2">
      <w:start w:val="1"/>
      <w:numFmt w:val="decimal"/>
      <w:pStyle w:val="a0"/>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15:restartNumberingAfterBreak="0">
    <w:nsid w:val="705003D8"/>
    <w:multiLevelType w:val="multilevel"/>
    <w:tmpl w:val="705003D8"/>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7EEE4E10"/>
    <w:multiLevelType w:val="multilevel"/>
    <w:tmpl w:val="7EEE4E10"/>
    <w:lvl w:ilvl="0">
      <w:start w:val="1"/>
      <w:numFmt w:val="decimal"/>
      <w:lvlText w:val="%1."/>
      <w:lvlJc w:val="left"/>
      <w:pPr>
        <w:ind w:left="1000" w:hanging="36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1078596029">
    <w:abstractNumId w:val="1"/>
  </w:num>
  <w:num w:numId="2" w16cid:durableId="1021248849">
    <w:abstractNumId w:val="2"/>
  </w:num>
  <w:num w:numId="3" w16cid:durableId="218175139">
    <w:abstractNumId w:val="3"/>
  </w:num>
  <w:num w:numId="4" w16cid:durableId="34479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0D46"/>
    <w:rsid w:val="000220E7"/>
    <w:rsid w:val="0005040E"/>
    <w:rsid w:val="000A223C"/>
    <w:rsid w:val="000C1C12"/>
    <w:rsid w:val="000C3271"/>
    <w:rsid w:val="000F0C7D"/>
    <w:rsid w:val="00101EA8"/>
    <w:rsid w:val="00102A1D"/>
    <w:rsid w:val="00104EBE"/>
    <w:rsid w:val="00124296"/>
    <w:rsid w:val="0013009A"/>
    <w:rsid w:val="00146E01"/>
    <w:rsid w:val="0015536D"/>
    <w:rsid w:val="001655CC"/>
    <w:rsid w:val="00166B31"/>
    <w:rsid w:val="00172A27"/>
    <w:rsid w:val="001C4122"/>
    <w:rsid w:val="001F67DA"/>
    <w:rsid w:val="002102DD"/>
    <w:rsid w:val="00210A8F"/>
    <w:rsid w:val="00213CBA"/>
    <w:rsid w:val="00236AAD"/>
    <w:rsid w:val="00263781"/>
    <w:rsid w:val="0028183A"/>
    <w:rsid w:val="0029412C"/>
    <w:rsid w:val="002B261E"/>
    <w:rsid w:val="002B4B46"/>
    <w:rsid w:val="002C001D"/>
    <w:rsid w:val="002D5383"/>
    <w:rsid w:val="00306AD8"/>
    <w:rsid w:val="00311B98"/>
    <w:rsid w:val="00333C8D"/>
    <w:rsid w:val="003359A9"/>
    <w:rsid w:val="003578DF"/>
    <w:rsid w:val="00360DE6"/>
    <w:rsid w:val="003670E2"/>
    <w:rsid w:val="003A1849"/>
    <w:rsid w:val="003A6D9B"/>
    <w:rsid w:val="003D01F1"/>
    <w:rsid w:val="003D4693"/>
    <w:rsid w:val="003D6BC2"/>
    <w:rsid w:val="003F0B4E"/>
    <w:rsid w:val="003F2BC2"/>
    <w:rsid w:val="004230E6"/>
    <w:rsid w:val="00457C30"/>
    <w:rsid w:val="00472206"/>
    <w:rsid w:val="00490D7A"/>
    <w:rsid w:val="004A0CB2"/>
    <w:rsid w:val="004D0757"/>
    <w:rsid w:val="004E3C78"/>
    <w:rsid w:val="004F531E"/>
    <w:rsid w:val="00513107"/>
    <w:rsid w:val="0051427F"/>
    <w:rsid w:val="0051491D"/>
    <w:rsid w:val="00551F19"/>
    <w:rsid w:val="0057028E"/>
    <w:rsid w:val="0058312D"/>
    <w:rsid w:val="00596177"/>
    <w:rsid w:val="0059625C"/>
    <w:rsid w:val="00597351"/>
    <w:rsid w:val="00597F90"/>
    <w:rsid w:val="005C15B6"/>
    <w:rsid w:val="005C5ED8"/>
    <w:rsid w:val="005C617D"/>
    <w:rsid w:val="005E1545"/>
    <w:rsid w:val="00624431"/>
    <w:rsid w:val="006331F0"/>
    <w:rsid w:val="006445A8"/>
    <w:rsid w:val="00644FCE"/>
    <w:rsid w:val="0066212E"/>
    <w:rsid w:val="006640D9"/>
    <w:rsid w:val="00692F71"/>
    <w:rsid w:val="006B3315"/>
    <w:rsid w:val="006D5668"/>
    <w:rsid w:val="006E1564"/>
    <w:rsid w:val="00710D7C"/>
    <w:rsid w:val="00713B51"/>
    <w:rsid w:val="00717542"/>
    <w:rsid w:val="00726A1C"/>
    <w:rsid w:val="00734B14"/>
    <w:rsid w:val="00736897"/>
    <w:rsid w:val="007437AD"/>
    <w:rsid w:val="00754665"/>
    <w:rsid w:val="00761E16"/>
    <w:rsid w:val="0076345A"/>
    <w:rsid w:val="007653F3"/>
    <w:rsid w:val="00783F9D"/>
    <w:rsid w:val="00785310"/>
    <w:rsid w:val="0079365E"/>
    <w:rsid w:val="007A7F8F"/>
    <w:rsid w:val="007C12BF"/>
    <w:rsid w:val="007D5198"/>
    <w:rsid w:val="007E4D7A"/>
    <w:rsid w:val="007F7F39"/>
    <w:rsid w:val="008138D6"/>
    <w:rsid w:val="008267EF"/>
    <w:rsid w:val="00836149"/>
    <w:rsid w:val="00843A80"/>
    <w:rsid w:val="008465CE"/>
    <w:rsid w:val="0085142B"/>
    <w:rsid w:val="008609BF"/>
    <w:rsid w:val="00861C4A"/>
    <w:rsid w:val="008731BC"/>
    <w:rsid w:val="008C3C75"/>
    <w:rsid w:val="008C60C5"/>
    <w:rsid w:val="009161FE"/>
    <w:rsid w:val="009178CA"/>
    <w:rsid w:val="00943B6F"/>
    <w:rsid w:val="0095424E"/>
    <w:rsid w:val="009736D5"/>
    <w:rsid w:val="0097464F"/>
    <w:rsid w:val="00976A42"/>
    <w:rsid w:val="00980BBA"/>
    <w:rsid w:val="009913FB"/>
    <w:rsid w:val="0099441D"/>
    <w:rsid w:val="00997BFF"/>
    <w:rsid w:val="009A3706"/>
    <w:rsid w:val="009A53BA"/>
    <w:rsid w:val="009B0CA5"/>
    <w:rsid w:val="009B13E7"/>
    <w:rsid w:val="009B4D17"/>
    <w:rsid w:val="009B5186"/>
    <w:rsid w:val="009C1D39"/>
    <w:rsid w:val="009C7056"/>
    <w:rsid w:val="009F0803"/>
    <w:rsid w:val="00A01A15"/>
    <w:rsid w:val="00A03EBA"/>
    <w:rsid w:val="00A07D65"/>
    <w:rsid w:val="00A11E38"/>
    <w:rsid w:val="00A15FC6"/>
    <w:rsid w:val="00A1719F"/>
    <w:rsid w:val="00A278CF"/>
    <w:rsid w:val="00A27BFB"/>
    <w:rsid w:val="00A27D89"/>
    <w:rsid w:val="00A372FA"/>
    <w:rsid w:val="00A53969"/>
    <w:rsid w:val="00A64FA0"/>
    <w:rsid w:val="00A7116E"/>
    <w:rsid w:val="00A73012"/>
    <w:rsid w:val="00A83355"/>
    <w:rsid w:val="00A92BC7"/>
    <w:rsid w:val="00AA181A"/>
    <w:rsid w:val="00AA3475"/>
    <w:rsid w:val="00AB1C96"/>
    <w:rsid w:val="00AB54BD"/>
    <w:rsid w:val="00AC6968"/>
    <w:rsid w:val="00AE0100"/>
    <w:rsid w:val="00AF785F"/>
    <w:rsid w:val="00B00851"/>
    <w:rsid w:val="00B21920"/>
    <w:rsid w:val="00B224AD"/>
    <w:rsid w:val="00B2515B"/>
    <w:rsid w:val="00B27526"/>
    <w:rsid w:val="00B37B7F"/>
    <w:rsid w:val="00B61F36"/>
    <w:rsid w:val="00B64C52"/>
    <w:rsid w:val="00B65EC3"/>
    <w:rsid w:val="00B67962"/>
    <w:rsid w:val="00B75BBB"/>
    <w:rsid w:val="00B835E1"/>
    <w:rsid w:val="00B836E8"/>
    <w:rsid w:val="00B85E4C"/>
    <w:rsid w:val="00B9029B"/>
    <w:rsid w:val="00B92B0E"/>
    <w:rsid w:val="00BB6B29"/>
    <w:rsid w:val="00BC6052"/>
    <w:rsid w:val="00BD4DB1"/>
    <w:rsid w:val="00BE6899"/>
    <w:rsid w:val="00C02DC3"/>
    <w:rsid w:val="00C16558"/>
    <w:rsid w:val="00C54D04"/>
    <w:rsid w:val="00C77295"/>
    <w:rsid w:val="00C8120F"/>
    <w:rsid w:val="00C94CE6"/>
    <w:rsid w:val="00C9654F"/>
    <w:rsid w:val="00CB1F69"/>
    <w:rsid w:val="00CC4F47"/>
    <w:rsid w:val="00CE5521"/>
    <w:rsid w:val="00D01126"/>
    <w:rsid w:val="00D127E0"/>
    <w:rsid w:val="00D12AB6"/>
    <w:rsid w:val="00D3007C"/>
    <w:rsid w:val="00D32792"/>
    <w:rsid w:val="00D3362B"/>
    <w:rsid w:val="00D4784B"/>
    <w:rsid w:val="00D52BD1"/>
    <w:rsid w:val="00D63DED"/>
    <w:rsid w:val="00D75B1D"/>
    <w:rsid w:val="00D801F5"/>
    <w:rsid w:val="00D91DAB"/>
    <w:rsid w:val="00D921E3"/>
    <w:rsid w:val="00D92B39"/>
    <w:rsid w:val="00DA6CF1"/>
    <w:rsid w:val="00DE22E6"/>
    <w:rsid w:val="00DF738C"/>
    <w:rsid w:val="00E33176"/>
    <w:rsid w:val="00E335FC"/>
    <w:rsid w:val="00E36DAC"/>
    <w:rsid w:val="00E40655"/>
    <w:rsid w:val="00E5177A"/>
    <w:rsid w:val="00E71FCA"/>
    <w:rsid w:val="00EC52BC"/>
    <w:rsid w:val="00EC6ACB"/>
    <w:rsid w:val="00ED559B"/>
    <w:rsid w:val="00EF1A27"/>
    <w:rsid w:val="00EF1A7C"/>
    <w:rsid w:val="00EF3921"/>
    <w:rsid w:val="00EF4052"/>
    <w:rsid w:val="00F14C97"/>
    <w:rsid w:val="00F1569A"/>
    <w:rsid w:val="00F162E1"/>
    <w:rsid w:val="00F22209"/>
    <w:rsid w:val="00F25AAD"/>
    <w:rsid w:val="00F26C05"/>
    <w:rsid w:val="00F34F0D"/>
    <w:rsid w:val="00F376CC"/>
    <w:rsid w:val="00F4013F"/>
    <w:rsid w:val="00F414DC"/>
    <w:rsid w:val="00F60578"/>
    <w:rsid w:val="00F65908"/>
    <w:rsid w:val="00F72474"/>
    <w:rsid w:val="00F8778F"/>
    <w:rsid w:val="00F90323"/>
    <w:rsid w:val="00F9148A"/>
    <w:rsid w:val="00FB07B0"/>
    <w:rsid w:val="00FC7C27"/>
    <w:rsid w:val="00FD19DE"/>
    <w:rsid w:val="00FE22DA"/>
    <w:rsid w:val="00FE31D9"/>
    <w:rsid w:val="00FF25D7"/>
    <w:rsid w:val="00FF49E9"/>
    <w:rsid w:val="04461F7D"/>
    <w:rsid w:val="05EF03F3"/>
    <w:rsid w:val="07320B4F"/>
    <w:rsid w:val="08A35757"/>
    <w:rsid w:val="0B9A670B"/>
    <w:rsid w:val="0F0767AD"/>
    <w:rsid w:val="11362D8C"/>
    <w:rsid w:val="11727009"/>
    <w:rsid w:val="119E743E"/>
    <w:rsid w:val="13C56BE1"/>
    <w:rsid w:val="1473414C"/>
    <w:rsid w:val="14E31216"/>
    <w:rsid w:val="162437A1"/>
    <w:rsid w:val="16571DC8"/>
    <w:rsid w:val="171E763C"/>
    <w:rsid w:val="17975DFE"/>
    <w:rsid w:val="18477163"/>
    <w:rsid w:val="1A3566BB"/>
    <w:rsid w:val="1AAB7E59"/>
    <w:rsid w:val="1C8C02F2"/>
    <w:rsid w:val="1F7A7D13"/>
    <w:rsid w:val="1FEA7C53"/>
    <w:rsid w:val="20024E90"/>
    <w:rsid w:val="211652E6"/>
    <w:rsid w:val="212F7483"/>
    <w:rsid w:val="21891DE2"/>
    <w:rsid w:val="21F4671D"/>
    <w:rsid w:val="220939FF"/>
    <w:rsid w:val="256352F3"/>
    <w:rsid w:val="26A73075"/>
    <w:rsid w:val="26DB42FD"/>
    <w:rsid w:val="28033B5E"/>
    <w:rsid w:val="28D663CB"/>
    <w:rsid w:val="2A0D248D"/>
    <w:rsid w:val="2ABF7AE4"/>
    <w:rsid w:val="2B91322F"/>
    <w:rsid w:val="2BDB5655"/>
    <w:rsid w:val="2CD303E0"/>
    <w:rsid w:val="2D720E3E"/>
    <w:rsid w:val="2E8C2E38"/>
    <w:rsid w:val="2EDE47CA"/>
    <w:rsid w:val="2EF03553"/>
    <w:rsid w:val="31542E6B"/>
    <w:rsid w:val="33353479"/>
    <w:rsid w:val="34116D24"/>
    <w:rsid w:val="35D37DDF"/>
    <w:rsid w:val="389B31C0"/>
    <w:rsid w:val="38D806EF"/>
    <w:rsid w:val="39072EC2"/>
    <w:rsid w:val="3A645312"/>
    <w:rsid w:val="3BF10314"/>
    <w:rsid w:val="3BF318F8"/>
    <w:rsid w:val="3F046240"/>
    <w:rsid w:val="3FE0432D"/>
    <w:rsid w:val="4005370C"/>
    <w:rsid w:val="405F5A8A"/>
    <w:rsid w:val="43A57FA3"/>
    <w:rsid w:val="454D0A28"/>
    <w:rsid w:val="46101EFE"/>
    <w:rsid w:val="46B502C1"/>
    <w:rsid w:val="47836855"/>
    <w:rsid w:val="4B78606B"/>
    <w:rsid w:val="4DFB4DDF"/>
    <w:rsid w:val="4E4D0E87"/>
    <w:rsid w:val="4ED32A85"/>
    <w:rsid w:val="4F925019"/>
    <w:rsid w:val="51482B1D"/>
    <w:rsid w:val="536E56D6"/>
    <w:rsid w:val="54E86D5E"/>
    <w:rsid w:val="5BA63421"/>
    <w:rsid w:val="5CA40764"/>
    <w:rsid w:val="5E856373"/>
    <w:rsid w:val="5EFF7ED4"/>
    <w:rsid w:val="5F425041"/>
    <w:rsid w:val="5F937B22"/>
    <w:rsid w:val="5FDF6558"/>
    <w:rsid w:val="61CE5A7A"/>
    <w:rsid w:val="62127610"/>
    <w:rsid w:val="638C5151"/>
    <w:rsid w:val="643B228F"/>
    <w:rsid w:val="645A307E"/>
    <w:rsid w:val="654270E5"/>
    <w:rsid w:val="67F72090"/>
    <w:rsid w:val="6953779A"/>
    <w:rsid w:val="69D1465E"/>
    <w:rsid w:val="6A4B1174"/>
    <w:rsid w:val="6A6D2E29"/>
    <w:rsid w:val="6DE01ACD"/>
    <w:rsid w:val="6E755ABD"/>
    <w:rsid w:val="70430726"/>
    <w:rsid w:val="718E22DF"/>
    <w:rsid w:val="71A86C22"/>
    <w:rsid w:val="723C6C87"/>
    <w:rsid w:val="74B7053E"/>
    <w:rsid w:val="75191A9B"/>
    <w:rsid w:val="766A6123"/>
    <w:rsid w:val="78EE55FB"/>
    <w:rsid w:val="79F82ADD"/>
    <w:rsid w:val="7A4D3D91"/>
    <w:rsid w:val="7A540C7C"/>
    <w:rsid w:val="7AAE5134"/>
    <w:rsid w:val="7C044924"/>
    <w:rsid w:val="7E6D1C32"/>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9C723"/>
  <w15:docId w15:val="{57CFAE64-5203-4BA1-B361-B78A69F8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1"/>
    <w:next w:val="a1"/>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1"/>
    <w:next w:val="a1"/>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1"/>
    <w:next w:val="a1"/>
    <w:link w:val="30"/>
    <w:autoRedefine/>
    <w:uiPriority w:val="9"/>
    <w:unhideWhenUsed/>
    <w:qFormat/>
    <w:pPr>
      <w:keepNext/>
      <w:keepLines/>
      <w:spacing w:before="260" w:after="260" w:line="416" w:lineRule="auto"/>
      <w:ind w:firstLineChars="200" w:firstLine="200"/>
      <w:outlineLvl w:val="2"/>
    </w:pPr>
    <w:rPr>
      <w:bCs/>
      <w:sz w:val="32"/>
      <w:szCs w:val="32"/>
    </w:rPr>
  </w:style>
  <w:style w:type="paragraph" w:styleId="4">
    <w:name w:val="heading 4"/>
    <w:basedOn w:val="a1"/>
    <w:next w:val="a1"/>
    <w:link w:val="40"/>
    <w:uiPriority w:val="9"/>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1"/>
    <w:next w:val="a1"/>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1"/>
    <w:next w:val="a1"/>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1"/>
    <w:next w:val="a1"/>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1"/>
    <w:next w:val="a1"/>
    <w:link w:val="80"/>
    <w:uiPriority w:val="9"/>
    <w:semiHidden/>
    <w:unhideWhenUsed/>
    <w:qFormat/>
    <w:pPr>
      <w:keepNext/>
      <w:keepLines/>
      <w:outlineLvl w:val="7"/>
    </w:pPr>
    <w:rPr>
      <w:rFonts w:cstheme="majorBidi"/>
      <w:color w:val="595959" w:themeColor="text1" w:themeTint="A6"/>
    </w:rPr>
  </w:style>
  <w:style w:type="paragraph" w:styleId="9">
    <w:name w:val="heading 9"/>
    <w:basedOn w:val="a1"/>
    <w:next w:val="a1"/>
    <w:link w:val="90"/>
    <w:uiPriority w:val="9"/>
    <w:semiHidden/>
    <w:unhideWhenUsed/>
    <w:qFormat/>
    <w:pPr>
      <w:keepNext/>
      <w:keepLines/>
      <w:outlineLvl w:val="8"/>
    </w:pPr>
    <w:rPr>
      <w:rFonts w:eastAsiaTheme="majorEastAsia" w:cstheme="majorBidi"/>
      <w:color w:val="595959" w:themeColor="text1" w:themeTint="A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unhideWhenUsed/>
    <w:qFormat/>
    <w:pPr>
      <w:tabs>
        <w:tab w:val="center" w:pos="4153"/>
        <w:tab w:val="right" w:pos="8306"/>
      </w:tabs>
      <w:snapToGrid w:val="0"/>
      <w:jc w:val="left"/>
    </w:pPr>
    <w:rPr>
      <w:sz w:val="18"/>
      <w:szCs w:val="18"/>
    </w:rPr>
  </w:style>
  <w:style w:type="paragraph" w:styleId="a7">
    <w:name w:val="header"/>
    <w:basedOn w:val="a1"/>
    <w:link w:val="a8"/>
    <w:uiPriority w:val="99"/>
    <w:unhideWhenUsed/>
    <w:qFormat/>
    <w:pPr>
      <w:tabs>
        <w:tab w:val="center" w:pos="4153"/>
        <w:tab w:val="right" w:pos="8306"/>
      </w:tabs>
      <w:snapToGrid w:val="0"/>
      <w:jc w:val="center"/>
    </w:pPr>
    <w:rPr>
      <w:sz w:val="18"/>
      <w:szCs w:val="18"/>
    </w:rPr>
  </w:style>
  <w:style w:type="paragraph" w:styleId="TOC1">
    <w:name w:val="toc 1"/>
    <w:basedOn w:val="a1"/>
    <w:next w:val="a1"/>
    <w:autoRedefine/>
    <w:uiPriority w:val="39"/>
    <w:unhideWhenUsed/>
    <w:qFormat/>
  </w:style>
  <w:style w:type="paragraph" w:styleId="a9">
    <w:name w:val="Subtitle"/>
    <w:basedOn w:val="a1"/>
    <w:next w:val="a1"/>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1"/>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Title"/>
    <w:basedOn w:val="a1"/>
    <w:next w:val="a1"/>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e">
    <w:name w:val="Table Grid"/>
    <w:basedOn w:val="a3"/>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Strong"/>
    <w:basedOn w:val="a2"/>
    <w:uiPriority w:val="22"/>
    <w:qFormat/>
    <w:rPr>
      <w:b/>
    </w:rPr>
  </w:style>
  <w:style w:type="character" w:styleId="af0">
    <w:name w:val="Hyperlink"/>
    <w:basedOn w:val="a2"/>
    <w:uiPriority w:val="99"/>
    <w:unhideWhenUsed/>
    <w:qFormat/>
    <w:rPr>
      <w:color w:val="0563C1" w:themeColor="hyperlink"/>
      <w:u w:val="single"/>
    </w:rPr>
  </w:style>
  <w:style w:type="character" w:customStyle="1" w:styleId="30">
    <w:name w:val="标题 3 字符"/>
    <w:basedOn w:val="a2"/>
    <w:link w:val="3"/>
    <w:uiPriority w:val="9"/>
    <w:qFormat/>
    <w:rPr>
      <w:bCs/>
      <w:sz w:val="32"/>
      <w:szCs w:val="32"/>
    </w:rPr>
  </w:style>
  <w:style w:type="character" w:customStyle="1" w:styleId="10">
    <w:name w:val="标题 1 字符"/>
    <w:basedOn w:val="a2"/>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2"/>
    <w:link w:val="2"/>
    <w:uiPriority w:val="9"/>
    <w:qFormat/>
    <w:rPr>
      <w:rFonts w:asciiTheme="majorHAnsi" w:eastAsiaTheme="majorEastAsia" w:hAnsiTheme="majorHAnsi" w:cstheme="majorBidi"/>
      <w:color w:val="2F5496" w:themeColor="accent1" w:themeShade="BF"/>
      <w:sz w:val="40"/>
      <w:szCs w:val="40"/>
    </w:rPr>
  </w:style>
  <w:style w:type="character" w:customStyle="1" w:styleId="40">
    <w:name w:val="标题 4 字符"/>
    <w:basedOn w:val="a2"/>
    <w:link w:val="4"/>
    <w:uiPriority w:val="9"/>
    <w:qFormat/>
    <w:rPr>
      <w:rFonts w:cstheme="majorBidi"/>
      <w:color w:val="2F5496" w:themeColor="accent1" w:themeShade="BF"/>
      <w:sz w:val="28"/>
      <w:szCs w:val="28"/>
    </w:rPr>
  </w:style>
  <w:style w:type="character" w:customStyle="1" w:styleId="50">
    <w:name w:val="标题 5 字符"/>
    <w:basedOn w:val="a2"/>
    <w:link w:val="5"/>
    <w:uiPriority w:val="9"/>
    <w:semiHidden/>
    <w:qFormat/>
    <w:rPr>
      <w:rFonts w:cstheme="majorBidi"/>
      <w:color w:val="2F5496" w:themeColor="accent1" w:themeShade="BF"/>
      <w:sz w:val="24"/>
      <w:szCs w:val="24"/>
    </w:rPr>
  </w:style>
  <w:style w:type="character" w:customStyle="1" w:styleId="60">
    <w:name w:val="标题 6 字符"/>
    <w:basedOn w:val="a2"/>
    <w:link w:val="6"/>
    <w:uiPriority w:val="9"/>
    <w:semiHidden/>
    <w:qFormat/>
    <w:rPr>
      <w:rFonts w:cstheme="majorBidi"/>
      <w:b/>
      <w:bCs/>
      <w:color w:val="2F5496" w:themeColor="accent1" w:themeShade="BF"/>
    </w:rPr>
  </w:style>
  <w:style w:type="character" w:customStyle="1" w:styleId="70">
    <w:name w:val="标题 7 字符"/>
    <w:basedOn w:val="a2"/>
    <w:link w:val="7"/>
    <w:uiPriority w:val="9"/>
    <w:semiHidden/>
    <w:qFormat/>
    <w:rPr>
      <w:rFonts w:cstheme="majorBidi"/>
      <w:b/>
      <w:bCs/>
      <w:color w:val="595959" w:themeColor="text1" w:themeTint="A6"/>
    </w:rPr>
  </w:style>
  <w:style w:type="character" w:customStyle="1" w:styleId="80">
    <w:name w:val="标题 8 字符"/>
    <w:basedOn w:val="a2"/>
    <w:link w:val="8"/>
    <w:uiPriority w:val="9"/>
    <w:semiHidden/>
    <w:qFormat/>
    <w:rPr>
      <w:rFonts w:cstheme="majorBidi"/>
      <w:color w:val="595959" w:themeColor="text1" w:themeTint="A6"/>
    </w:rPr>
  </w:style>
  <w:style w:type="character" w:customStyle="1" w:styleId="90">
    <w:name w:val="标题 9 字符"/>
    <w:basedOn w:val="a2"/>
    <w:link w:val="9"/>
    <w:uiPriority w:val="9"/>
    <w:semiHidden/>
    <w:qFormat/>
    <w:rPr>
      <w:rFonts w:eastAsiaTheme="majorEastAsia" w:cstheme="majorBidi"/>
      <w:color w:val="595959" w:themeColor="text1" w:themeTint="A6"/>
    </w:rPr>
  </w:style>
  <w:style w:type="character" w:customStyle="1" w:styleId="ad">
    <w:name w:val="标题 字符"/>
    <w:basedOn w:val="a2"/>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2"/>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1"/>
    <w:next w:val="a1"/>
    <w:link w:val="af2"/>
    <w:uiPriority w:val="29"/>
    <w:qFormat/>
    <w:pPr>
      <w:spacing w:before="160" w:after="160"/>
      <w:jc w:val="center"/>
    </w:pPr>
    <w:rPr>
      <w:i/>
      <w:iCs/>
      <w:color w:val="404040" w:themeColor="text1" w:themeTint="BF"/>
    </w:rPr>
  </w:style>
  <w:style w:type="character" w:customStyle="1" w:styleId="af2">
    <w:name w:val="引用 字符"/>
    <w:basedOn w:val="a2"/>
    <w:link w:val="af1"/>
    <w:uiPriority w:val="29"/>
    <w:qFormat/>
    <w:rPr>
      <w:i/>
      <w:iCs/>
      <w:color w:val="404040" w:themeColor="text1" w:themeTint="BF"/>
    </w:rPr>
  </w:style>
  <w:style w:type="paragraph" w:styleId="af3">
    <w:name w:val="List Paragraph"/>
    <w:basedOn w:val="a1"/>
    <w:uiPriority w:val="34"/>
    <w:qFormat/>
    <w:pPr>
      <w:ind w:left="720"/>
      <w:contextualSpacing/>
    </w:pPr>
  </w:style>
  <w:style w:type="character" w:customStyle="1" w:styleId="11">
    <w:name w:val="明显强调1"/>
    <w:basedOn w:val="a2"/>
    <w:uiPriority w:val="21"/>
    <w:qFormat/>
    <w:rPr>
      <w:i/>
      <w:iCs/>
      <w:color w:val="2F5496" w:themeColor="accent1" w:themeShade="BF"/>
    </w:rPr>
  </w:style>
  <w:style w:type="paragraph" w:styleId="af4">
    <w:name w:val="Intense Quote"/>
    <w:basedOn w:val="a1"/>
    <w:next w:val="a1"/>
    <w:link w:val="af5"/>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5">
    <w:name w:val="明显引用 字符"/>
    <w:basedOn w:val="a2"/>
    <w:link w:val="af4"/>
    <w:uiPriority w:val="30"/>
    <w:qFormat/>
    <w:rPr>
      <w:i/>
      <w:iCs/>
      <w:color w:val="2F5496" w:themeColor="accent1" w:themeShade="BF"/>
    </w:rPr>
  </w:style>
  <w:style w:type="character" w:customStyle="1" w:styleId="12">
    <w:name w:val="明显参考1"/>
    <w:basedOn w:val="a2"/>
    <w:uiPriority w:val="32"/>
    <w:qFormat/>
    <w:rPr>
      <w:b/>
      <w:bCs/>
      <w:smallCaps/>
      <w:color w:val="2F5496" w:themeColor="accent1" w:themeShade="BF"/>
      <w:spacing w:val="5"/>
    </w:rPr>
  </w:style>
  <w:style w:type="character" w:customStyle="1" w:styleId="a8">
    <w:name w:val="页眉 字符"/>
    <w:basedOn w:val="a2"/>
    <w:link w:val="a7"/>
    <w:uiPriority w:val="99"/>
    <w:qFormat/>
    <w:rPr>
      <w:sz w:val="18"/>
      <w:szCs w:val="18"/>
    </w:rPr>
  </w:style>
  <w:style w:type="character" w:customStyle="1" w:styleId="a6">
    <w:name w:val="页脚 字符"/>
    <w:basedOn w:val="a2"/>
    <w:link w:val="a5"/>
    <w:uiPriority w:val="99"/>
    <w:qFormat/>
    <w:rPr>
      <w:sz w:val="18"/>
      <w:szCs w:val="18"/>
    </w:rPr>
  </w:style>
  <w:style w:type="paragraph" w:customStyle="1" w:styleId="TOC10">
    <w:name w:val="TOC 标题1"/>
    <w:basedOn w:val="1"/>
    <w:next w:val="a1"/>
    <w:uiPriority w:val="39"/>
    <w:unhideWhenUsed/>
    <w:qFormat/>
    <w:pPr>
      <w:widowControl/>
      <w:spacing w:before="240" w:after="0" w:line="259" w:lineRule="auto"/>
      <w:jc w:val="left"/>
      <w:outlineLvl w:val="9"/>
    </w:pPr>
    <w:rPr>
      <w:kern w:val="0"/>
      <w:sz w:val="32"/>
      <w:szCs w:val="32"/>
    </w:rPr>
  </w:style>
  <w:style w:type="paragraph" w:customStyle="1" w:styleId="13">
    <w:name w:val="修订1"/>
    <w:hidden/>
    <w:uiPriority w:val="99"/>
    <w:semiHidden/>
    <w:qFormat/>
    <w:rPr>
      <w:rFonts w:asciiTheme="minorHAnsi" w:eastAsiaTheme="minorEastAsia" w:hAnsiTheme="minorHAnsi" w:cstheme="minorBidi"/>
      <w:kern w:val="2"/>
      <w:sz w:val="21"/>
      <w:szCs w:val="22"/>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31">
    <w:name w:val="修订3"/>
    <w:hidden/>
    <w:uiPriority w:val="99"/>
    <w:semiHidden/>
    <w:qFormat/>
    <w:rPr>
      <w:rFonts w:asciiTheme="minorHAnsi" w:eastAsiaTheme="minorEastAsia" w:hAnsiTheme="minorHAnsi" w:cstheme="minorBidi"/>
      <w:kern w:val="2"/>
      <w:sz w:val="21"/>
      <w:szCs w:val="22"/>
      <w14:ligatures w14:val="standardContextual"/>
    </w:rPr>
  </w:style>
  <w:style w:type="paragraph" w:customStyle="1" w:styleId="41">
    <w:name w:val="修订4"/>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af6">
    <w:name w:val="标准文件_段"/>
    <w:qFormat/>
    <w:pPr>
      <w:autoSpaceDE w:val="0"/>
      <w:autoSpaceDN w:val="0"/>
      <w:ind w:firstLineChars="200" w:firstLine="200"/>
      <w:jc w:val="both"/>
    </w:pPr>
    <w:rPr>
      <w:rFonts w:ascii="宋体"/>
      <w:sz w:val="21"/>
    </w:rPr>
  </w:style>
  <w:style w:type="paragraph" w:customStyle="1" w:styleId="a0">
    <w:name w:val="标准文件_一级条标题"/>
    <w:basedOn w:val="a"/>
    <w:next w:val="af6"/>
    <w:qFormat/>
    <w:pPr>
      <w:numPr>
        <w:ilvl w:val="2"/>
      </w:numPr>
      <w:spacing w:beforeLines="50" w:before="50" w:afterLines="50" w:after="50"/>
      <w:outlineLvl w:val="1"/>
    </w:pPr>
  </w:style>
  <w:style w:type="paragraph" w:customStyle="1" w:styleId="a">
    <w:name w:val="标准文件_章标题"/>
    <w:next w:val="af6"/>
    <w:qFormat/>
    <w:pPr>
      <w:numPr>
        <w:ilvl w:val="1"/>
        <w:numId w:val="1"/>
      </w:numPr>
      <w:spacing w:beforeLines="100" w:before="100" w:afterLines="100" w:after="100"/>
      <w:jc w:val="both"/>
      <w:outlineLvl w:val="0"/>
    </w:pPr>
    <w:rPr>
      <w:rFonts w:ascii="黑体" w:eastAsia="黑体"/>
      <w:sz w:val="21"/>
    </w:rPr>
  </w:style>
  <w:style w:type="paragraph" w:customStyle="1" w:styleId="51">
    <w:name w:val="修订5"/>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61">
    <w:name w:val="修订6"/>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71">
    <w:name w:val="修订7"/>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af7">
    <w:name w:val="正文表标题"/>
    <w:next w:val="a1"/>
    <w:qFormat/>
    <w:pPr>
      <w:tabs>
        <w:tab w:val="left" w:pos="360"/>
      </w:tabs>
      <w:jc w:val="center"/>
    </w:pPr>
    <w:rPr>
      <w:rFonts w:ascii="黑体" w:eastAsia="黑体" w:hAnsi="Calibri"/>
    </w:rPr>
  </w:style>
  <w:style w:type="character" w:customStyle="1" w:styleId="2SimSun">
    <w:name w:val="正文文本 (2) + SimSun"/>
    <w:basedOn w:val="a2"/>
    <w:qFormat/>
    <w:rPr>
      <w:rFonts w:ascii="宋体" w:hAnsi="宋体" w:cs="宋体"/>
      <w:spacing w:val="1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DFC02-025C-4F06-B0AE-A1F82A18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4117</Words>
  <Characters>4365</Characters>
  <Application>Microsoft Office Word</Application>
  <DocSecurity>0</DocSecurity>
  <Lines>727</Lines>
  <Paragraphs>848</Paragraphs>
  <ScaleCrop>false</ScaleCrop>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蜥蜴 杨</dc:creator>
  <cp:lastModifiedBy>Jingwei Fan</cp:lastModifiedBy>
  <cp:revision>15</cp:revision>
  <cp:lastPrinted>2025-11-06T12:05:00Z</cp:lastPrinted>
  <dcterms:created xsi:type="dcterms:W3CDTF">2025-11-09T13:56:00Z</dcterms:created>
  <dcterms:modified xsi:type="dcterms:W3CDTF">2026-10-18T01:47:00Z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eyJoZGlkIjoiZjczNzk1ZjZmZWUwOTk1YWFkNTAwMDlmOWE0ZGZhMTAiLCJ1c2VySWQiOiIzNjYwNzI3MDYifQ==</vt:lpwstr>
  </property>
  <property fmtid="{D5CDD505-2E9C-101B-9397-08002B2CF9AE}" pid="3" name="KSOProductBuildVer">
    <vt:lpwstr>2052-12.1.0.29161</vt:lpwstr>
  </property>
  <property fmtid="{D5CDD505-2E9C-101B-9397-08002B2CF9AE}" pid="4" name="ICV">
    <vt:lpwstr>207F24AB242146AEB7A1372CC96CB340_13</vt:lpwstr>
  </property>
</Properties>
</file>