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9891B">
      <w:pPr>
        <w:widowControl/>
        <w:rPr>
          <w:rFonts w:ascii="Times New Roman" w:hAnsi="Times New Roman" w:eastAsia="黑体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/>
          <w:color w:val="000000"/>
          <w:kern w:val="0"/>
          <w:sz w:val="32"/>
          <w:szCs w:val="32"/>
        </w:rPr>
        <w:t>附件2</w:t>
      </w:r>
    </w:p>
    <w:p w14:paraId="516CA9C6">
      <w:pPr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 xml:space="preserve"> </w:t>
      </w:r>
    </w:p>
    <w:p w14:paraId="50BA04D8">
      <w:pPr>
        <w:widowControl/>
        <w:rPr>
          <w:rFonts w:ascii="Times New Roman" w:hAnsi="Times New Roman" w:eastAsia="黑体"/>
          <w:color w:val="000000"/>
          <w:kern w:val="0"/>
          <w:sz w:val="32"/>
          <w:szCs w:val="32"/>
        </w:rPr>
      </w:pPr>
    </w:p>
    <w:p w14:paraId="0B58AC3D">
      <w:pPr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 xml:space="preserve"> </w:t>
      </w:r>
    </w:p>
    <w:p w14:paraId="63D44480">
      <w:pPr>
        <w:pStyle w:val="7"/>
        <w:framePr w:w="0" w:hRule="auto" w:hSpace="0" w:vSpace="0" w:wrap="auto" w:vAnchor="margin" w:hAnchor="text" w:xAlign="left" w:yAlign="inline"/>
        <w:ind w:right="628"/>
        <w:rPr>
          <w:b w:val="0"/>
          <w:w w:val="130"/>
          <w:szCs w:val="20"/>
        </w:rPr>
      </w:pPr>
      <w:r>
        <w:rPr>
          <w:b w:val="0"/>
          <w:w w:val="130"/>
          <w:szCs w:val="20"/>
        </w:rPr>
        <w:t>T/BSC</w:t>
      </w:r>
    </w:p>
    <w:p w14:paraId="6154C002">
      <w:pPr>
        <w:autoSpaceDE w:val="0"/>
        <w:autoSpaceDN w:val="0"/>
        <w:adjustRightInd w:val="0"/>
        <w:jc w:val="center"/>
        <w:rPr>
          <w:rFonts w:ascii="Times New Roman" w:hAnsi="Times New Roman" w:eastAsia="黑体"/>
          <w:spacing w:val="34"/>
          <w:kern w:val="0"/>
          <w:sz w:val="44"/>
          <w:szCs w:val="44"/>
        </w:rPr>
      </w:pPr>
      <w:r>
        <w:rPr>
          <w:rFonts w:ascii="Times New Roman" w:hAnsi="Times New Roman" w:eastAsia="黑体"/>
          <w:spacing w:val="34"/>
          <w:kern w:val="0"/>
          <w:sz w:val="56"/>
          <w:szCs w:val="56"/>
        </w:rPr>
        <w:t>中国植物学会团体标准</w:t>
      </w:r>
    </w:p>
    <w:p w14:paraId="0B5700F2">
      <w:pPr>
        <w:pStyle w:val="8"/>
        <w:framePr w:w="0" w:hRule="auto" w:hSpace="0" w:wrap="auto" w:vAnchor="margin" w:hAnchor="text" w:xAlign="left" w:yAlign="inline"/>
        <w:widowControl w:val="0"/>
        <w:kinsoku w:val="0"/>
        <w:overflowPunct w:val="0"/>
        <w:autoSpaceDE w:val="0"/>
        <w:autoSpaceDN w:val="0"/>
        <w:adjustRightInd w:val="0"/>
        <w:ind w:right="554"/>
        <w:textAlignment w:val="center"/>
        <w:rPr>
          <w:rFonts w:ascii="Times New Roman"/>
          <w:szCs w:val="20"/>
        </w:rPr>
      </w:pPr>
      <w:r>
        <w:rPr>
          <w:rFonts w:ascii="Times New Roman"/>
          <w:szCs w:val="20"/>
        </w:rPr>
        <w:t xml:space="preserve">T/BSC </w:t>
      </w:r>
      <w:r>
        <w:rPr>
          <w:rFonts w:hint="eastAsia" w:ascii="Times New Roman"/>
          <w:szCs w:val="20"/>
          <w:lang w:val="en-US" w:eastAsia="zh-CN"/>
        </w:rPr>
        <w:t>XX</w:t>
      </w:r>
      <w:r>
        <w:rPr>
          <w:rFonts w:ascii="Times New Roman"/>
          <w:szCs w:val="20"/>
        </w:rPr>
        <w:t>-2026</w:t>
      </w:r>
    </w:p>
    <w:p w14:paraId="23CBECD4">
      <w:pPr>
        <w:spacing w:line="380" w:lineRule="exact"/>
        <w:rPr>
          <w:rFonts w:ascii="Times New Roman" w:hAnsi="Times New Roman"/>
          <w:b/>
          <w:sz w:val="32"/>
          <w:szCs w:val="32"/>
        </w:rPr>
      </w:pPr>
      <w:bookmarkStart w:id="27" w:name="_GoBack"/>
      <w:bookmarkEnd w:id="27"/>
      <w:r>
        <w:rPr>
          <w:rFonts w:ascii="Times New Roman" w:hAnsi="Times New Roman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80010</wp:posOffset>
                </wp:positionV>
                <wp:extent cx="6012180" cy="19050"/>
                <wp:effectExtent l="0" t="4445" r="762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180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6.3pt;height:1.5pt;width:473.4pt;z-index:251661312;mso-width-relative:page;mso-height-relative:page;" filled="f" stroked="t" coordsize="21600,21600" o:gfxdata="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1goBNQAAAAGAQAADwAAAAAAAAABACAAAAAiAAAAZHJzL2Rvd25yZXYueG1sUEsB&#10;AhQAFAAAAAgAh07iQO0Jh8L5AQAA5g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1493B3C">
      <w:pPr>
        <w:spacing w:line="380" w:lineRule="exact"/>
        <w:rPr>
          <w:rFonts w:ascii="Times New Roman" w:hAnsi="Times New Roman"/>
          <w:b/>
          <w:sz w:val="44"/>
          <w:szCs w:val="44"/>
        </w:rPr>
      </w:pPr>
    </w:p>
    <w:p w14:paraId="51724BCE">
      <w:pPr>
        <w:spacing w:line="360" w:lineRule="auto"/>
        <w:rPr>
          <w:rFonts w:ascii="Times New Roman" w:hAnsi="Times New Roman"/>
          <w:sz w:val="44"/>
          <w:szCs w:val="44"/>
        </w:rPr>
      </w:pPr>
    </w:p>
    <w:p w14:paraId="28D303F7">
      <w:pPr>
        <w:spacing w:line="360" w:lineRule="auto"/>
        <w:jc w:val="center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植物室内苗期耐碱性鉴定技术规范</w:t>
      </w:r>
    </w:p>
    <w:p w14:paraId="424BE44F">
      <w:pPr>
        <w:spacing w:line="380" w:lineRule="exact"/>
        <w:jc w:val="center"/>
        <w:outlineLvl w:val="0"/>
        <w:rPr>
          <w:rFonts w:ascii="Times New Roman" w:hAnsi="Times New Roman"/>
          <w:sz w:val="24"/>
        </w:rPr>
      </w:pPr>
    </w:p>
    <w:p w14:paraId="748292C6">
      <w:pPr>
        <w:spacing w:line="380" w:lineRule="exact"/>
        <w:ind w:left="560" w:hanging="560" w:hangingChars="200"/>
        <w:jc w:val="center"/>
        <w:outlineLvl w:val="0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 xml:space="preserve">Technical Specification for Identification of Alkali Tolerance </w:t>
      </w:r>
    </w:p>
    <w:p w14:paraId="50459B3B">
      <w:pPr>
        <w:spacing w:line="380" w:lineRule="exact"/>
        <w:ind w:left="560" w:hanging="560" w:hangingChars="200"/>
        <w:jc w:val="center"/>
        <w:outlineLvl w:val="0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of Plants at Seedling Stage Under Laboratory Conditions</w:t>
      </w:r>
    </w:p>
    <w:p w14:paraId="19611674">
      <w:pPr>
        <w:spacing w:line="380" w:lineRule="exact"/>
        <w:outlineLvl w:val="0"/>
        <w:rPr>
          <w:rFonts w:ascii="Times New Roman" w:hAnsi="Times New Roman"/>
          <w:sz w:val="24"/>
        </w:rPr>
      </w:pPr>
    </w:p>
    <w:p w14:paraId="3CA728D2">
      <w:pPr>
        <w:spacing w:line="380" w:lineRule="exact"/>
        <w:outlineLvl w:val="0"/>
        <w:rPr>
          <w:rFonts w:ascii="Times New Roman" w:hAnsi="Times New Roman"/>
          <w:sz w:val="24"/>
        </w:rPr>
      </w:pPr>
    </w:p>
    <w:p w14:paraId="73D5E178">
      <w:pPr>
        <w:spacing w:line="380" w:lineRule="exact"/>
        <w:jc w:val="center"/>
        <w:outlineLvl w:val="0"/>
        <w:rPr>
          <w:rFonts w:ascii="Times New Roman" w:hAnsi="Times New Roman" w:eastAsia="黑体"/>
          <w:b/>
          <w:bCs/>
          <w:sz w:val="32"/>
          <w:szCs w:val="32"/>
        </w:rPr>
      </w:pPr>
      <w:bookmarkStart w:id="0" w:name="_Toc20663828"/>
      <w:r>
        <w:rPr>
          <w:rFonts w:ascii="Times New Roman" w:hAnsi="Times New Roman" w:eastAsia="黑体"/>
          <w:sz w:val="32"/>
          <w:szCs w:val="32"/>
        </w:rPr>
        <w:t>（草案）</w:t>
      </w:r>
      <w:bookmarkEnd w:id="0"/>
    </w:p>
    <w:p w14:paraId="6F37A8FC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455AB712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442DFA31">
      <w:pPr>
        <w:spacing w:line="380" w:lineRule="exact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在提交反馈意见时，请将您知道的相关专利连同支持性文件一并附上。</w:t>
      </w:r>
    </w:p>
    <w:p w14:paraId="32E3FCAC">
      <w:pPr>
        <w:spacing w:line="380" w:lineRule="exact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（注：征求意见时必须保留这句话。）</w:t>
      </w:r>
    </w:p>
    <w:p w14:paraId="6F612846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7D5304CE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74EC4AF1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28040659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3D74557B">
      <w:pPr>
        <w:spacing w:line="380" w:lineRule="exact"/>
        <w:jc w:val="center"/>
        <w:outlineLvl w:val="0"/>
        <w:rPr>
          <w:rFonts w:ascii="Times New Roman" w:hAnsi="Times New Roman" w:eastAsia="黑体"/>
          <w:b/>
          <w:sz w:val="28"/>
          <w:szCs w:val="28"/>
        </w:rPr>
      </w:pPr>
      <w:bookmarkStart w:id="1" w:name="_Toc20663829"/>
      <w:r>
        <w:rPr>
          <w:rFonts w:ascii="Times New Roman" w:hAnsi="Times New Roman" w:eastAsia="黑体"/>
          <w:kern w:val="0"/>
          <w:sz w:val="28"/>
          <w:szCs w:val="28"/>
        </w:rPr>
        <w:t>XXXX -XX-XX 发布                              XXXX -XX-XX 实施</w:t>
      </w:r>
      <w:bookmarkEnd w:id="1"/>
    </w:p>
    <w:p w14:paraId="33001EA9">
      <w:pPr>
        <w:spacing w:line="380" w:lineRule="exac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540004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6.65pt;height:0pt;width:425.2pt;mso-position-horizontal:center;mso-position-horizontal-relative:margin;z-index:251659264;mso-width-relative:page;mso-height-relative:page;" filled="f" stroked="t" coordsize="21600,21600" o:gfxdata="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EZUWPT&#10;AAAABgEAAA8AAAAAAAAAAQAgAAAAIgAAAGRycy9kb3ducmV2LnhtbFBLAQIUABQAAAAIAIdO4kC+&#10;9ufa7AEAANgDAAAOAAAAAAAAAAEAIAAAACI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6A4FE1B">
      <w:pPr>
        <w:widowControl/>
        <w:jc w:val="center"/>
        <w:rPr>
          <w:rFonts w:ascii="Times New Roman" w:hAnsi="Times New Roman" w:eastAsia="黑体"/>
          <w:spacing w:val="20"/>
          <w:w w:val="135"/>
          <w:kern w:val="0"/>
          <w:sz w:val="28"/>
          <w:szCs w:val="20"/>
        </w:rPr>
        <w:sectPr>
          <w:footerReference r:id="rId3" w:type="default"/>
          <w:pgSz w:w="11906" w:h="16838"/>
          <w:pgMar w:top="1440" w:right="1080" w:bottom="1440" w:left="1080" w:header="1418" w:footer="964" w:gutter="0"/>
          <w:pgNumType w:fmt="upperRoman" w:start="1"/>
          <w:cols w:space="720" w:num="1"/>
          <w:formProt w:val="0"/>
          <w:titlePg/>
          <w:docGrid w:type="lines" w:linePitch="312" w:charSpace="0"/>
        </w:sectPr>
      </w:pPr>
      <w:r>
        <w:rPr>
          <w:rFonts w:ascii="Times New Roman" w:hAnsi="Times New Roman" w:eastAsia="黑体"/>
          <w:spacing w:val="20"/>
          <w:w w:val="135"/>
          <w:kern w:val="0"/>
          <w:sz w:val="28"/>
          <w:szCs w:val="28"/>
        </w:rPr>
        <w:t xml:space="preserve">中国植物学会 </w:t>
      </w:r>
      <w:r>
        <w:rPr>
          <w:rFonts w:ascii="Times New Roman" w:hAnsi="Times New Roman" w:eastAsia="黑体"/>
          <w:spacing w:val="20"/>
          <w:w w:val="135"/>
          <w:kern w:val="0"/>
          <w:sz w:val="28"/>
          <w:szCs w:val="20"/>
        </w:rPr>
        <w:t>发布</w:t>
      </w:r>
    </w:p>
    <w:p w14:paraId="22B51AF1">
      <w:pPr>
        <w:rPr>
          <w:rFonts w:ascii="Times New Roman" w:hAnsi="Times New Roman" w:eastAsia="黑体"/>
          <w:sz w:val="28"/>
          <w:szCs w:val="20"/>
        </w:rPr>
        <w:sectPr>
          <w:footerReference r:id="rId4" w:type="default"/>
          <w:type w:val="continuous"/>
          <w:pgSz w:w="11906" w:h="16838"/>
          <w:pgMar w:top="1440" w:right="1080" w:bottom="1440" w:left="1080" w:header="1418" w:footer="964" w:gutter="0"/>
          <w:pgNumType w:fmt="upperRoman"/>
          <w:cols w:space="720" w:num="1"/>
          <w:formProt w:val="0"/>
          <w:docGrid w:type="lines" w:linePitch="312" w:charSpace="0"/>
        </w:sectPr>
      </w:pPr>
    </w:p>
    <w:p w14:paraId="18D74DD2">
      <w:pPr>
        <w:pStyle w:val="9"/>
        <w:rPr>
          <w:rFonts w:ascii="Times New Roman" w:eastAsiaTheme="minorEastAsia"/>
        </w:rPr>
      </w:pPr>
      <w:r>
        <w:rPr>
          <w:rFonts w:ascii="Times New Roman" w:eastAsiaTheme="minorEastAsia"/>
        </w:rPr>
        <w:t>前</w:t>
      </w:r>
      <w:bookmarkStart w:id="2" w:name="BKQY"/>
      <w:r>
        <w:rPr>
          <w:rFonts w:ascii="Times New Roman" w:eastAsiaTheme="minorEastAsia"/>
        </w:rPr>
        <w:t>  言</w:t>
      </w:r>
      <w:bookmarkEnd w:id="2"/>
    </w:p>
    <w:p w14:paraId="16D12298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</w:rPr>
        <w:t>本文件</w:t>
      </w:r>
      <w:r>
        <w:rPr>
          <w:rFonts w:ascii="Times New Roman" w:eastAsiaTheme="minorEastAsia"/>
          <w:color w:val="000000"/>
        </w:rPr>
        <w:t>按照GB/T 1.1-2020《标准化工作导则  第1部分：标准化文件的结构和起草规则》的规定起草。</w:t>
      </w:r>
    </w:p>
    <w:p w14:paraId="7028E89F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请注意本文件的某些内容可能涉及专利。本文件的发布机构不承担识别专利的责任。</w:t>
      </w:r>
    </w:p>
    <w:p w14:paraId="6C711FEF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本文件由中国植物学会提出并归口。</w:t>
      </w:r>
    </w:p>
    <w:p w14:paraId="4AE2FD8C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本标准起草单位：</w:t>
      </w:r>
      <w:r>
        <w:rPr>
          <w:rFonts w:hint="eastAsia" w:ascii="Times New Roman" w:eastAsiaTheme="minorEastAsia"/>
        </w:rPr>
        <w:t>中国科学院遗传与发育生物学研究所、东北林业大学、中国科学院西北生态环境资源研究院、中国科学院新疆生态与地理研究所、内蒙古自治区农牧业科学院。</w:t>
      </w:r>
    </w:p>
    <w:p w14:paraId="0125C917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本标准主要起草人：</w:t>
      </w:r>
      <w:r>
        <w:rPr>
          <w:rFonts w:hint="eastAsia" w:ascii="Times New Roman" w:eastAsiaTheme="minorEastAsia"/>
        </w:rPr>
        <w:t>杨宝军、范敬伟、唐丁、管清杰、潘晶、刘华威、邱晓、王鹏程、李依莎。</w:t>
      </w:r>
    </w:p>
    <w:p w14:paraId="21A03A0B">
      <w:pPr>
        <w:pStyle w:val="11"/>
        <w:rPr>
          <w:rFonts w:ascii="Times New Roman" w:hAnsi="Times New Roman" w:eastAsiaTheme="minorEastAsia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1ADF84CD">
      <w:pPr>
        <w:pStyle w:val="11"/>
        <w:rPr>
          <w:rFonts w:ascii="Times New Roman" w:hAnsi="Times New Roman" w:eastAsiaTheme="minorEastAsia"/>
        </w:rPr>
      </w:pPr>
      <w:r>
        <w:rPr>
          <w:rFonts w:ascii="Times New Roman" w:hAnsi="Times New Roman" w:eastAsiaTheme="minorEastAsia"/>
        </w:rPr>
        <w:t>植物室内苗期耐碱性鉴定技术规范</w:t>
      </w:r>
    </w:p>
    <w:p w14:paraId="0BF6726C">
      <w:pPr>
        <w:pStyle w:val="17"/>
        <w:spacing w:before="312" w:after="312"/>
      </w:pPr>
      <w:bookmarkStart w:id="3" w:name="_Toc11003"/>
      <w:bookmarkStart w:id="4" w:name="_Toc26770"/>
      <w:bookmarkStart w:id="5" w:name="_Toc17390"/>
      <w:bookmarkStart w:id="6" w:name="_Toc17233325"/>
      <w:bookmarkStart w:id="7" w:name="_Toc24884218"/>
      <w:bookmarkStart w:id="8" w:name="_Toc26718930"/>
      <w:bookmarkStart w:id="9" w:name="_Toc21196"/>
      <w:bookmarkStart w:id="10" w:name="_Toc26986771"/>
      <w:bookmarkStart w:id="11" w:name="_Toc26648465"/>
      <w:bookmarkStart w:id="12" w:name="_Toc24884211"/>
      <w:bookmarkStart w:id="13" w:name="_Toc26986530"/>
      <w:bookmarkStart w:id="14" w:name="_Toc17233333"/>
      <w:r>
        <w:rPr>
          <w:rFonts w:hint="eastAsia"/>
        </w:rPr>
        <w:t>范围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23363FB8">
      <w:pPr>
        <w:pStyle w:val="10"/>
        <w:rPr>
          <w:rFonts w:ascii="Times New Roman" w:eastAsiaTheme="minorEastAsia"/>
        </w:rPr>
      </w:pPr>
      <w:r>
        <w:rPr>
          <w:rFonts w:ascii="Times New Roman" w:eastAsiaTheme="minorEastAsia"/>
        </w:rPr>
        <w:t>本文件规定了植物耐</w:t>
      </w:r>
      <w:r>
        <w:rPr>
          <w:rFonts w:hint="eastAsia" w:ascii="Times New Roman" w:eastAsiaTheme="minorEastAsia"/>
        </w:rPr>
        <w:t>碱</w:t>
      </w:r>
      <w:r>
        <w:rPr>
          <w:rFonts w:ascii="Times New Roman" w:eastAsiaTheme="minorEastAsia"/>
        </w:rPr>
        <w:t>鉴定的测试条件、实验方法及技术指标。</w:t>
      </w:r>
    </w:p>
    <w:p w14:paraId="73372D53">
      <w:pPr>
        <w:pStyle w:val="10"/>
        <w:rPr>
          <w:rFonts w:ascii="Times New Roman" w:eastAsiaTheme="minorEastAsia"/>
        </w:rPr>
      </w:pPr>
      <w:r>
        <w:rPr>
          <w:rFonts w:ascii="Times New Roman" w:eastAsiaTheme="minorEastAsia"/>
        </w:rPr>
        <w:t>本文件适用于盐碱地改良及综合利用中耐</w:t>
      </w:r>
      <w:r>
        <w:rPr>
          <w:rFonts w:hint="eastAsia" w:ascii="Times New Roman" w:eastAsiaTheme="minorEastAsia"/>
        </w:rPr>
        <w:t>碱</w:t>
      </w:r>
      <w:r>
        <w:rPr>
          <w:rFonts w:ascii="Times New Roman" w:eastAsiaTheme="minorEastAsia"/>
        </w:rPr>
        <w:t>植物的鉴定。</w:t>
      </w:r>
    </w:p>
    <w:p w14:paraId="26D2C98B">
      <w:pPr>
        <w:pStyle w:val="17"/>
        <w:spacing w:before="312" w:after="312"/>
      </w:pPr>
      <w:bookmarkStart w:id="15" w:name="_Toc25903"/>
      <w:bookmarkStart w:id="16" w:name="_Toc26718931"/>
      <w:bookmarkStart w:id="17" w:name="_Toc26986531"/>
      <w:bookmarkStart w:id="18" w:name="_Toc5724"/>
      <w:bookmarkStart w:id="19" w:name="_Toc29787"/>
      <w:bookmarkStart w:id="20" w:name="_Toc8163"/>
      <w:bookmarkStart w:id="21" w:name="_Toc26986772"/>
      <w:r>
        <w:rPr>
          <w:rFonts w:hint="eastAsia"/>
        </w:rPr>
        <w:t>规范性引用文件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05934CFD">
      <w:pPr>
        <w:pStyle w:val="10"/>
        <w:rPr>
          <w:rFonts w:ascii="Times New Roman" w:eastAsiaTheme="minorEastAsia"/>
        </w:rPr>
      </w:pPr>
      <w:r>
        <w:rPr>
          <w:rFonts w:ascii="Times New Roman" w:eastAsiaTheme="minorEastAsia"/>
        </w:rPr>
        <w:t xml:space="preserve">ISTA. International Rules for Seed Testing 2021[S]. International Seed Testing Association, 2021. </w:t>
      </w:r>
    </w:p>
    <w:p w14:paraId="7EFD3FFA">
      <w:pPr>
        <w:pStyle w:val="10"/>
        <w:rPr>
          <w:rFonts w:ascii="Times New Roman" w:eastAsiaTheme="minorEastAsia"/>
        </w:rPr>
      </w:pPr>
      <w:r>
        <w:rPr>
          <w:rFonts w:hint="eastAsia" w:ascii="Times New Roman" w:eastAsiaTheme="minorEastAsia"/>
        </w:rPr>
        <w:t>GB/T 1.1—2020《标准化工作导则 第1部分：标准化文件的结构和起草规则》8.6.2</w:t>
      </w:r>
    </w:p>
    <w:p w14:paraId="548C5141">
      <w:pPr>
        <w:pStyle w:val="10"/>
        <w:rPr>
          <w:rFonts w:ascii="Times New Roman" w:eastAsiaTheme="minorEastAsia"/>
        </w:rPr>
      </w:pPr>
      <w:r>
        <w:rPr>
          <w:rFonts w:ascii="Times New Roman" w:eastAsiaTheme="minorEastAsia"/>
        </w:rPr>
        <w:t xml:space="preserve">GB/T </w:t>
      </w:r>
      <w:r>
        <w:rPr>
          <w:rFonts w:hint="eastAsia" w:ascii="Times New Roman" w:eastAsiaTheme="minorEastAsia"/>
        </w:rPr>
        <w:t>639-2008化学试剂无水碳酸钠、GB/T640-1997化学试剂碳酸氢钠。</w:t>
      </w:r>
    </w:p>
    <w:p w14:paraId="26161922">
      <w:pPr>
        <w:pStyle w:val="17"/>
        <w:spacing w:before="312" w:after="312"/>
        <w:rPr>
          <w:rFonts w:eastAsia="宋体"/>
        </w:rPr>
      </w:pPr>
      <w:bookmarkStart w:id="22" w:name="_Toc19891"/>
      <w:bookmarkStart w:id="23" w:name="_Toc5914"/>
      <w:bookmarkStart w:id="24" w:name="_Toc18158"/>
      <w:bookmarkStart w:id="25" w:name="_Toc813"/>
      <w:r>
        <w:rPr>
          <w:rFonts w:hint="eastAsia"/>
          <w:szCs w:val="21"/>
        </w:rPr>
        <w:t>术语和定义</w:t>
      </w:r>
      <w:bookmarkEnd w:id="22"/>
      <w:bookmarkEnd w:id="23"/>
      <w:bookmarkEnd w:id="24"/>
      <w:bookmarkEnd w:id="25"/>
      <w:bookmarkStart w:id="26" w:name="_Toc26986532"/>
      <w:bookmarkEnd w:id="26"/>
    </w:p>
    <w:p w14:paraId="38CF041F">
      <w:pPr>
        <w:pStyle w:val="19"/>
        <w:ind w:left="420" w:hanging="420" w:hangingChars="200"/>
        <w:rPr>
          <w:rFonts w:hint="eastAsia"/>
        </w:rPr>
      </w:pPr>
      <w:r>
        <w:rPr>
          <w:rFonts w:hint="eastAsia"/>
        </w:rPr>
        <w:br w:type="textWrapping"/>
      </w:r>
      <w:r>
        <w:rPr>
          <w:rFonts w:hint="eastAsia"/>
        </w:rPr>
        <w:t>叶绿素荧光参数（Chlorophyll fluorescence parameters）</w:t>
      </w:r>
    </w:p>
    <w:p w14:paraId="78DDD9C6">
      <w:pPr>
        <w:pStyle w:val="18"/>
        <w:ind w:firstLine="420"/>
      </w:pPr>
      <w:r>
        <w:rPr>
          <w:rFonts w:hint="eastAsia"/>
        </w:rPr>
        <w:t>暗适应叶片光系统Ⅱ最大光化学效率，即可变荧光 Fv 与最大荧光 Fm 之比 （Fv/Fm）。健康植物正常取值范围为 0.79～0.83。</w:t>
      </w:r>
    </w:p>
    <w:p w14:paraId="71F869D4">
      <w:pPr>
        <w:pStyle w:val="18"/>
        <w:ind w:firstLine="420"/>
      </w:pPr>
    </w:p>
    <w:p w14:paraId="6200CF3E">
      <w:pPr>
        <w:pStyle w:val="19"/>
        <w:ind w:left="420" w:hanging="420" w:hangingChars="200"/>
        <w:rPr>
          <w:rFonts w:hint="eastAsia"/>
        </w:rPr>
      </w:pPr>
      <w:r>
        <w:rPr>
          <w:rFonts w:hint="eastAsia"/>
        </w:rPr>
        <w:br w:type="textWrapping"/>
      </w:r>
      <w:r>
        <w:rPr>
          <w:rFonts w:hint="eastAsia"/>
        </w:rPr>
        <w:t>相对荧光参数 RF（relative fluorescence）</w:t>
      </w:r>
    </w:p>
    <w:p w14:paraId="541B66A6">
      <w:pPr>
        <w:pStyle w:val="18"/>
        <w:ind w:firstLine="420"/>
      </w:pPr>
      <w:r>
        <w:rPr>
          <w:rFonts w:hint="eastAsia"/>
        </w:rPr>
        <w:t>同一测定时期、同一胁迫浓度处理下的 Fv/Fm 与同期对照（CK）Fv/Fm 之比，按公式（1）计算。RF 消除了材料本底差异与批次误差，是本文件单点判定的核心指标。</w:t>
      </w:r>
    </w:p>
    <w:p w14:paraId="3A3DC213">
      <w:pPr>
        <w:pStyle w:val="18"/>
        <w:ind w:firstLine="420"/>
      </w:pPr>
      <w:r>
        <w:rPr>
          <w:rFonts w:hint="eastAsia"/>
        </w:rPr>
        <w:t>RF ＝ Fv/Fm处理 ÷ Fv/FmCK　………………………………（1）</w:t>
      </w:r>
    </w:p>
    <w:p w14:paraId="6E4B2F96">
      <w:pPr>
        <w:pStyle w:val="18"/>
        <w:ind w:firstLine="420"/>
      </w:pPr>
    </w:p>
    <w:p w14:paraId="556D81C8">
      <w:pPr>
        <w:pStyle w:val="19"/>
        <w:ind w:left="420" w:hanging="420" w:hangingChars="200"/>
        <w:rPr>
          <w:rFonts w:ascii="宋体" w:eastAsia="宋体"/>
        </w:rPr>
      </w:pPr>
      <w:r>
        <w:rPr>
          <w:rFonts w:hint="eastAsia"/>
        </w:rPr>
        <w:br w:type="textWrapping"/>
      </w:r>
      <w:r>
        <w:rPr>
          <w:rFonts w:hint="eastAsia"/>
        </w:rPr>
        <w:t>单点耐碱等级（Single-site a</w:t>
      </w:r>
      <w:r>
        <w:t>lkali</w:t>
      </w:r>
      <w:r>
        <w:rPr>
          <w:rFonts w:hint="eastAsia"/>
        </w:rPr>
        <w:t xml:space="preserve"> tolerance rating）</w:t>
      </w:r>
    </w:p>
    <w:p w14:paraId="6518ABE6">
      <w:pPr>
        <w:pStyle w:val="19"/>
        <w:numPr>
          <w:ilvl w:val="255"/>
          <w:numId w:val="0"/>
        </w:numPr>
        <w:ind w:left="-420" w:leftChars="-200" w:firstLine="840" w:firstLineChars="400"/>
        <w:rPr>
          <w:rFonts w:ascii="宋体" w:eastAsia="宋体"/>
        </w:rPr>
      </w:pPr>
      <w:r>
        <w:rPr>
          <w:rFonts w:hint="eastAsia" w:ascii="宋体" w:eastAsia="宋体"/>
        </w:rPr>
        <w:t>某一材料在某一胁迫浓度下的耐盐等级，由荧光判定等级与表型判定等级取较劣者确定。</w:t>
      </w:r>
    </w:p>
    <w:p w14:paraId="7E877303">
      <w:pPr>
        <w:pStyle w:val="17"/>
        <w:spacing w:before="312" w:after="312"/>
        <w:rPr>
          <w:szCs w:val="21"/>
        </w:rPr>
      </w:pPr>
      <w:r>
        <w:rPr>
          <w:rFonts w:hint="eastAsia"/>
          <w:szCs w:val="21"/>
        </w:rPr>
        <w:t>缩略语</w:t>
      </w:r>
    </w:p>
    <w:p w14:paraId="2D543FD7">
      <w:pPr>
        <w:pStyle w:val="18"/>
        <w:ind w:firstLine="420"/>
        <w:rPr>
          <w:rFonts w:hint="eastAsia"/>
        </w:rPr>
      </w:pPr>
      <w:r>
        <w:rPr>
          <w:rFonts w:hint="eastAsia"/>
        </w:rPr>
        <w:t>下列缩略语适用于本文件。</w:t>
      </w:r>
    </w:p>
    <w:p w14:paraId="1421D76D">
      <w:pPr>
        <w:pStyle w:val="18"/>
        <w:ind w:firstLine="420"/>
      </w:pPr>
      <w:r>
        <w:rPr>
          <w:rFonts w:ascii="黑体" w:hAnsi="黑体" w:eastAsia="黑体" w:cs="黑体"/>
        </w:rPr>
        <w:t>CK</w:t>
      </w:r>
      <w:r>
        <w:rPr>
          <w:rFonts w:hint="eastAsia"/>
        </w:rPr>
        <w:t>：对照（</w:t>
      </w:r>
      <w:r>
        <w:rPr>
          <w:rFonts w:hint="eastAsia" w:ascii="Times New Roman" w:eastAsiaTheme="minorEastAsia"/>
        </w:rPr>
        <w:t>C</w:t>
      </w:r>
      <w:r>
        <w:rPr>
          <w:rFonts w:ascii="Times New Roman" w:eastAsiaTheme="minorEastAsia"/>
        </w:rPr>
        <w:t>ontrol</w:t>
      </w:r>
      <w:r>
        <w:rPr>
          <w:rFonts w:hint="eastAsia"/>
        </w:rPr>
        <w:t>）</w:t>
      </w:r>
    </w:p>
    <w:p w14:paraId="71522C8A">
      <w:pPr>
        <w:pStyle w:val="18"/>
        <w:ind w:firstLine="420"/>
      </w:pPr>
      <w:r>
        <w:rPr>
          <w:rFonts w:ascii="黑体" w:hAnsi="黑体" w:eastAsia="黑体" w:cs="黑体"/>
        </w:rPr>
        <w:t>RF</w:t>
      </w:r>
      <w:r>
        <w:rPr>
          <w:rFonts w:hint="eastAsia"/>
        </w:rPr>
        <w:t>：相对荧光参数（</w:t>
      </w:r>
      <w:r>
        <w:rPr>
          <w:rFonts w:hint="eastAsia" w:ascii="Times New Roman" w:eastAsiaTheme="minorEastAsia"/>
        </w:rPr>
        <w:t>R</w:t>
      </w:r>
      <w:r>
        <w:rPr>
          <w:rFonts w:ascii="Times New Roman" w:eastAsiaTheme="minorEastAsia"/>
        </w:rPr>
        <w:t>elative fluorescence</w:t>
      </w:r>
      <w:r>
        <w:rPr>
          <w:rFonts w:hint="eastAsia"/>
        </w:rPr>
        <w:t>）</w:t>
      </w:r>
    </w:p>
    <w:p w14:paraId="78838FF5">
      <w:pPr>
        <w:pStyle w:val="18"/>
        <w:ind w:firstLine="420"/>
      </w:pPr>
      <w:r>
        <w:rPr>
          <w:rFonts w:hint="eastAsia" w:ascii="黑体" w:hAnsi="黑体" w:eastAsia="黑体" w:cs="黑体"/>
        </w:rPr>
        <w:t>PSⅡ</w:t>
      </w:r>
      <w:r>
        <w:rPr>
          <w:rFonts w:hint="eastAsia"/>
        </w:rPr>
        <w:t>：光系统Ⅱ（</w:t>
      </w:r>
      <w:r>
        <w:rPr>
          <w:rFonts w:hint="eastAsia" w:ascii="Times New Roman" w:eastAsiaTheme="minorEastAsia"/>
        </w:rPr>
        <w:t>P</w:t>
      </w:r>
      <w:r>
        <w:rPr>
          <w:rFonts w:ascii="Times New Roman" w:eastAsiaTheme="minorEastAsia"/>
        </w:rPr>
        <w:t>hoto</w:t>
      </w:r>
      <w:r>
        <w:rPr>
          <w:rFonts w:hint="eastAsia" w:ascii="Times New Roman" w:eastAsiaTheme="minorEastAsia"/>
        </w:rPr>
        <w:t>system Ⅱ</w:t>
      </w:r>
      <w:r>
        <w:rPr>
          <w:rFonts w:hint="eastAsia"/>
        </w:rPr>
        <w:t>）</w:t>
      </w:r>
    </w:p>
    <w:p w14:paraId="6A36A482">
      <w:pPr>
        <w:pStyle w:val="18"/>
        <w:ind w:firstLine="420"/>
      </w:pPr>
      <w:r>
        <w:rPr>
          <w:rFonts w:ascii="黑体" w:hAnsi="黑体" w:eastAsia="黑体" w:cs="黑体"/>
        </w:rPr>
        <w:t>Fv/Fm</w:t>
      </w:r>
      <w:r>
        <w:rPr>
          <w:rFonts w:hint="eastAsia"/>
        </w:rPr>
        <w:t>：叶绿素荧光参数 （</w:t>
      </w:r>
      <w:r>
        <w:rPr>
          <w:rFonts w:ascii="Times New Roman" w:eastAsiaTheme="minorEastAsia"/>
        </w:rPr>
        <w:t>Chlorophyll fluorescence parameters</w:t>
      </w:r>
      <w:r>
        <w:rPr>
          <w:rFonts w:hint="eastAsia"/>
        </w:rPr>
        <w:t>）</w:t>
      </w:r>
    </w:p>
    <w:p w14:paraId="4D520ED4">
      <w:pPr>
        <w:pStyle w:val="18"/>
        <w:ind w:firstLine="0" w:firstLineChars="0"/>
      </w:pPr>
    </w:p>
    <w:p w14:paraId="600FC1AA">
      <w:pPr>
        <w:pStyle w:val="18"/>
        <w:ind w:firstLine="0" w:firstLineChars="0"/>
      </w:pPr>
    </w:p>
    <w:p w14:paraId="5785911D">
      <w:pPr>
        <w:pStyle w:val="18"/>
        <w:ind w:firstLine="0" w:firstLineChars="0"/>
      </w:pPr>
    </w:p>
    <w:p w14:paraId="09A64C5F">
      <w:pPr>
        <w:pStyle w:val="18"/>
        <w:ind w:firstLine="420"/>
      </w:pPr>
    </w:p>
    <w:p w14:paraId="4BCC99EC">
      <w:pPr>
        <w:pStyle w:val="17"/>
        <w:spacing w:before="312" w:after="312"/>
      </w:pPr>
      <w:r>
        <w:rPr>
          <w:rFonts w:hint="eastAsia"/>
        </w:rPr>
        <w:t>试验设计</w:t>
      </w:r>
    </w:p>
    <w:p w14:paraId="0339E288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 鉴定设施</w:t>
      </w:r>
    </w:p>
    <w:p w14:paraId="5EB42F2E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5.1.1 育苗盒及托盘</w:t>
      </w:r>
    </w:p>
    <w:p w14:paraId="4182E542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育苗盒（8cm ×8cm×8cm）及托盘（54 cm ×28 cm ×7 cm），每托盘可放18个育苗盒。</w:t>
      </w:r>
    </w:p>
    <w:p w14:paraId="55A1F4E2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5.1.2 基质</w:t>
      </w:r>
    </w:p>
    <w:p w14:paraId="413C6F1F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蛭石颗粒大小3-6 mm。</w:t>
      </w:r>
    </w:p>
    <w:p w14:paraId="467FDD1D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5.1.3 设置培养条件</w:t>
      </w:r>
    </w:p>
    <w:p w14:paraId="32528E1B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人工气候室内设置培养条件为 25℃± 2℃，光照强度&gt;1200 lx，光照 16 h / 黑暗 8 h，湿度 55%± 5%。</w:t>
      </w:r>
    </w:p>
    <w:p w14:paraId="24228338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5.1.4 叶绿素荧光仪</w:t>
      </w:r>
    </w:p>
    <w:p w14:paraId="5B10B3EA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叶绿素荧光成像仪。</w:t>
      </w:r>
    </w:p>
    <w:p w14:paraId="2AD2F72B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5.2 供试材料及培养</w:t>
      </w:r>
    </w:p>
    <w:p w14:paraId="7A60FA52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等量蛭石装入塑料盒内，每个材料播种 10-30 粒种子，具体数量根据筛选材料的特征决定，覆蛭石 2 cm （</w:t>
      </w:r>
      <w:r>
        <w:rPr>
          <w:rFonts w:hint="eastAsia" w:ascii="宋体" w:hAnsi="宋体"/>
        </w:rPr>
        <w:t>蛭石颗粒大小3-6 mm</w:t>
      </w:r>
      <w:r>
        <w:rPr>
          <w:rFonts w:hint="eastAsia" w:ascii="宋体" w:hAnsi="宋体" w:cs="宋体"/>
          <w:szCs w:val="21"/>
        </w:rPr>
        <w:t>），每个托盘（54 cm ×28 cm ×7 cm）放 18 个育苗盒（8 cm×8 cm），托盘内加入 5 L 底水。待幼苗长出约两片真叶，选取生长状况一致、无病虫害的健康植株。</w:t>
      </w:r>
    </w:p>
    <w:p w14:paraId="7570037D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5.3 胁迫浓度梯度</w:t>
      </w:r>
    </w:p>
    <w:p w14:paraId="6542BB3C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采用Na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CO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和NaHCO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溶液混合总浓度75 mmol/L，以去离子水配制的 1×霍格兰德营养液作为基础液，根据不同配比设置对照（CK）及 6个浓度梯度：</w:t>
      </w:r>
      <w:r>
        <w:rPr>
          <w:rFonts w:hint="eastAsia" w:ascii="Segoe UI Symbol" w:hAnsi="Segoe UI Symbol" w:cs="Segoe UI Symbol"/>
        </w:rPr>
        <w:t>pH 8.3、pH 9.0、pH 9.5、pH 10.2、pH 10.8、pH 11.3</w:t>
      </w:r>
      <w:r>
        <w:rPr>
          <w:rFonts w:hint="eastAsia" w:ascii="宋体" w:hAnsi="宋体" w:cs="宋体"/>
          <w:szCs w:val="21"/>
        </w:rPr>
        <w:t>。浓度间隔覆盖从低</w:t>
      </w:r>
      <w:r>
        <w:rPr>
          <w:rFonts w:hint="eastAsia" w:ascii="Segoe UI Symbol" w:hAnsi="Segoe UI Symbol" w:cs="Segoe UI Symbol"/>
        </w:rPr>
        <w:t>pH</w:t>
      </w:r>
      <w:r>
        <w:rPr>
          <w:rFonts w:hint="eastAsia" w:ascii="宋体" w:hAnsi="宋体" w:cs="宋体"/>
          <w:szCs w:val="21"/>
        </w:rPr>
        <w:t>胁迫到高</w:t>
      </w:r>
      <w:r>
        <w:rPr>
          <w:rFonts w:hint="eastAsia" w:ascii="Segoe UI Symbol" w:hAnsi="Segoe UI Symbol" w:cs="Segoe UI Symbol"/>
        </w:rPr>
        <w:t>pH</w:t>
      </w:r>
      <w:r>
        <w:rPr>
          <w:rFonts w:hint="eastAsia" w:ascii="宋体" w:hAnsi="宋体" w:cs="宋体"/>
          <w:szCs w:val="21"/>
        </w:rPr>
        <w:t>胁迫区间。</w:t>
      </w:r>
    </w:p>
    <w:p w14:paraId="4C15CB22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5.4 胁迫处理</w:t>
      </w:r>
    </w:p>
    <w:p w14:paraId="7B1EA520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采用底部浇灌方式施加碱胁迫溶液，整个周期使用不低于 5 L 对应pH浓度溶液，处理周期不少于 7 周，期间一直是对应pH浓度溶液处理，不做复水操作。</w:t>
      </w:r>
    </w:p>
    <w:p w14:paraId="61B1AB4B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5.5 表型观察</w:t>
      </w:r>
    </w:p>
    <w:p w14:paraId="78054106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自胁迫处理开始至处理结束后，每周拍照 1 次，不少于 6 周。</w:t>
      </w:r>
    </w:p>
    <w:p w14:paraId="7C9C68C7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5.6 长势等级评定</w:t>
      </w:r>
    </w:p>
    <w:p w14:paraId="176CA630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整盆试验，采用目视估测，依据表 1 对每一材料每一浓度处理的植株群体进行长势等级判定。判定应以对照（CK）同期长势为参照基准。每一材料列出对应处理下得长势等级。</w:t>
      </w:r>
    </w:p>
    <w:p w14:paraId="3E3037B6">
      <w:pPr>
        <w:keepNext/>
        <w:keepLines/>
        <w:spacing w:before="200"/>
        <w:jc w:val="center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 1　长势等级标准</w:t>
      </w:r>
    </w:p>
    <w:tbl>
      <w:tblPr>
        <w:tblStyle w:val="4"/>
        <w:tblW w:w="491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5"/>
        <w:gridCol w:w="3254"/>
        <w:gridCol w:w="1712"/>
      </w:tblGrid>
      <w:tr w14:paraId="349FD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60467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形态描述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73C19A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判断依据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D7172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长势等级</w:t>
            </w:r>
          </w:p>
        </w:tc>
      </w:tr>
      <w:tr w14:paraId="5935B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BA9B9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全株正常，叶色深绿，无枯叶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AB0ADB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与同期  CK  无肉眼可见差异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CC35B8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I（轻度）</w:t>
            </w:r>
          </w:p>
        </w:tc>
      </w:tr>
      <w:tr w14:paraId="310E4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0EAA8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长势基本正常，叶尖轻微黄化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872E43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枯叶率＜ 10% ，相对株高 ≥0.75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6844D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II（中度）</w:t>
            </w:r>
          </w:p>
        </w:tc>
      </w:tr>
      <w:tr w14:paraId="7D522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D8C8EC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株高明显受抑，叶色变浅，少数枯叶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A0B34A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  10% ～ 40% ，相对株高  0.50 ～ 0.75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0B0881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III（重度）</w:t>
            </w:r>
          </w:p>
        </w:tc>
      </w:tr>
      <w:tr w14:paraId="4ADB4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FB2995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生长停滞，近半叶片枯黄，仅心叶存活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71178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  40% ～ 70% ，相对株高＜ 0.50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E6085B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IV（枯萎）</w:t>
            </w:r>
          </w:p>
        </w:tc>
      </w:tr>
      <w:tr w14:paraId="31165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C41663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严重萎蔫，逾七成叶片枯死，濒死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9BBFC9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仅剩心叶或基部绿色组织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196A77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IV（死亡）</w:t>
            </w:r>
          </w:p>
        </w:tc>
      </w:tr>
    </w:tbl>
    <w:p w14:paraId="425B811B">
      <w:pPr>
        <w:rPr>
          <w:rFonts w:hint="eastAsia" w:ascii="宋体" w:hAnsi="宋体" w:cs="宋体"/>
          <w:szCs w:val="21"/>
        </w:rPr>
      </w:pPr>
    </w:p>
    <w:p w14:paraId="4B74B217">
      <w:pPr>
        <w:keepNext/>
        <w:keepLines/>
        <w:spacing w:before="200"/>
        <w:outlineLvl w:val="1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5.7 叶绿素荧光参数测定</w:t>
      </w:r>
    </w:p>
    <w:p w14:paraId="56E0E88E">
      <w:pPr>
        <w:keepNext/>
        <w:keepLines/>
        <w:spacing w:before="200" w:line="360" w:lineRule="auto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   分别于胁迫处理后第 4-6 周测定，以耐盐表型及植株高度适合叶绿素荧光仪为参考。测定前对叶片进行暗适应，暗适应时间不少于 20 min。整盆植株叶测定。同批次测定应在同一时段内完成，避免光强与温度波动影响。对照（CK）Fv/Fm 应不低于 0.70。Fv/Fm 测定值为 0 时，判定为植株死亡，应与存活记录核对确认。若植株干枯表型等级记录，可不测叶绿素荧光参数。</w:t>
      </w:r>
    </w:p>
    <w:p w14:paraId="0D468560">
      <w:pPr>
        <w:pStyle w:val="18"/>
        <w:ind w:firstLine="0" w:firstLineChars="0"/>
      </w:pPr>
    </w:p>
    <w:p w14:paraId="65777C07">
      <w:pPr>
        <w:pStyle w:val="17"/>
        <w:spacing w:before="312" w:after="312"/>
        <w:rPr>
          <w:rFonts w:hint="eastAsia" w:ascii="宋体" w:hAnsi="宋体" w:eastAsia="宋体" w:cs="宋体"/>
          <w:kern w:val="2"/>
          <w:szCs w:val="21"/>
        </w:rPr>
      </w:pPr>
      <w:r>
        <w:rPr>
          <w:rFonts w:hint="eastAsia"/>
        </w:rPr>
        <w:t>耐盐性评价</w:t>
      </w:r>
    </w:p>
    <w:p w14:paraId="33DE15AD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6.1 判定原则</w:t>
      </w:r>
    </w:p>
    <w:p w14:paraId="69F24E5C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对每份材料在对应pH浓度溶液胁迫浓度下评定单点耐碱等级，综合表型长势等级、绝对阈值Fv/Fm和相对荧光参数 RF判定耐碱等级，选取较差等级作为该浓度下材料的单点耐碱等级。</w:t>
      </w:r>
    </w:p>
    <w:p w14:paraId="0FB50853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6.2 等级划分</w:t>
      </w:r>
    </w:p>
    <w:p w14:paraId="2F0D1705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单点耐碱等级划分为强耐碱、耐碱、中耐碱、敏感、极敏感五级，判定阈值见表 2。</w:t>
      </w:r>
    </w:p>
    <w:p w14:paraId="2438DD81">
      <w:pPr>
        <w:keepNext/>
        <w:keepLines/>
        <w:spacing w:before="200"/>
        <w:jc w:val="center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 2　单点耐碱等级判定阈值</w:t>
      </w:r>
    </w:p>
    <w:tbl>
      <w:tblPr>
        <w:tblStyle w:val="4"/>
        <w:tblW w:w="4852" w:type="pct"/>
        <w:tblInd w:w="1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688"/>
        <w:gridCol w:w="1605"/>
        <w:gridCol w:w="1522"/>
        <w:gridCol w:w="1995"/>
      </w:tblGrid>
      <w:tr w14:paraId="67677CEC"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966AAA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耐碱等级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86DC9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相对阈值  RF 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 xml:space="preserve"> （处理 /CK ）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C8743B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绝对阈值  Fv/Fm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1FAED6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长势等级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83127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胁迫表征</w:t>
            </w:r>
          </w:p>
        </w:tc>
      </w:tr>
      <w:tr w14:paraId="31307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305DF4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强耐碱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91028D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≥0.90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1BBBCE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≥0.70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00ACD8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I（轻度）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F3C098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无可见胁迫</w:t>
            </w:r>
          </w:p>
        </w:tc>
      </w:tr>
      <w:tr w14:paraId="6C638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5847F9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耐碱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CDDA6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0.75 ～ 0.90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4044B6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0.55 ～ 0.70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8C2DF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II（中度）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8CD2A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叶尖轻微黄化</w:t>
            </w:r>
          </w:p>
        </w:tc>
      </w:tr>
      <w:tr w14:paraId="60DA4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E18E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中耐碱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CDF08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0.50 ～ 0.75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90E44C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0.35 ～ 0.55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932A79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III（重度）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D14F4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株高受抑、叶色变浅</w:t>
            </w:r>
          </w:p>
        </w:tc>
      </w:tr>
      <w:tr w14:paraId="08709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080E92">
            <w:pPr>
              <w:spacing w:before="52" w:after="52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敏感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23CFD3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0.25 ～ 0.50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E8DB38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0.10 ～ 0.35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EE010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IV（枯萎）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56B528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近半叶片枯黄</w:t>
            </w:r>
          </w:p>
        </w:tc>
      </w:tr>
      <w:tr w14:paraId="2C62A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3FE89D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极敏感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CBBC0E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&lt;0.25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A49F0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&lt;0.10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F368C1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IV（死亡）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06BBE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全株死亡</w:t>
            </w:r>
          </w:p>
        </w:tc>
      </w:tr>
    </w:tbl>
    <w:p w14:paraId="606EB46D">
      <w:pPr>
        <w:rPr>
          <w:rFonts w:hint="eastAsia" w:ascii="宋体" w:hAnsi="宋体" w:cs="宋体"/>
          <w:szCs w:val="21"/>
        </w:rPr>
      </w:pPr>
    </w:p>
    <w:p w14:paraId="120CADAA">
      <w:pPr>
        <w:widowControl/>
        <w:rPr>
          <w:rFonts w:ascii="Times New Roman" w:hAnsi="Times New Roman" w:eastAsiaTheme="minorEastAsia"/>
          <w:color w:val="000000"/>
          <w:kern w:val="0"/>
          <w:sz w:val="32"/>
          <w:szCs w:val="32"/>
        </w:rPr>
      </w:pPr>
    </w:p>
    <w:p w14:paraId="4127FB83">
      <w:pPr>
        <w:spacing w:line="360" w:lineRule="auto"/>
        <w:rPr>
          <w:rFonts w:ascii="Times New Roman" w:hAnsi="Times New Roman" w:eastAsiaTheme="minorEastAsia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5F898">
    <w:pPr>
      <w:pStyle w:val="2"/>
      <w:jc w:val="center"/>
    </w:pPr>
  </w:p>
  <w:p w14:paraId="065EA48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7969D">
    <w:pPr>
      <w:pStyle w:val="2"/>
      <w:jc w:val="center"/>
    </w:pPr>
  </w:p>
  <w:p w14:paraId="2A49B96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ABF13">
    <w:pPr>
      <w:pStyle w:val="15"/>
      <w:tabs>
        <w:tab w:val="center" w:pos="4153"/>
        <w:tab w:val="right" w:pos="8228"/>
      </w:tabs>
      <w:jc w:val="lef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3FB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3FB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87EE5">
    <w:pPr>
      <w:pStyle w:val="15"/>
      <w:tabs>
        <w:tab w:val="center" w:pos="4153"/>
        <w:tab w:val="right" w:pos="8228"/>
      </w:tabs>
      <w:jc w:val="left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94AA1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94AA1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9196A">
    <w:pPr>
      <w:pStyle w:val="14"/>
      <w:spacing w:after="0"/>
    </w:pPr>
    <w:r>
      <w:rPr>
        <w:rFonts w:hint="eastAsia"/>
      </w:rPr>
      <w:t>T/</w:t>
    </w:r>
    <w:r>
      <w:t>BSC</w:t>
    </w:r>
    <w:r>
      <w:rPr>
        <w:rFonts w:hint="eastAsia"/>
      </w:rPr>
      <w:t xml:space="preserve"> </w:t>
    </w:r>
    <w:r>
      <w:t>019</w:t>
    </w:r>
    <w:r>
      <w:rPr>
        <w:rFonts w:hint="eastAsia"/>
      </w:rPr>
      <w:t>-</w:t>
    </w:r>
    <w:r>
      <w:t>20</w:t>
    </w:r>
    <w:r>
      <w:rPr>
        <w:rFonts w:hint="eastAsia"/>
      </w:rPr>
      <w:t>2</w:t>
    </w:r>
    <w: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2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7"/>
      <w:suff w:val="nothing"/>
      <w:lvlText w:val="%1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21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kNDIzM2E1ODU2N2E3NjNiNzJhNDQxMDIzNDQ2Y2QifQ=="/>
  </w:docVars>
  <w:rsids>
    <w:rsidRoot w:val="263A55D7"/>
    <w:rsid w:val="000C429D"/>
    <w:rsid w:val="001F7092"/>
    <w:rsid w:val="007B1A7E"/>
    <w:rsid w:val="00AE1BC7"/>
    <w:rsid w:val="00BD4DB1"/>
    <w:rsid w:val="00C73E5A"/>
    <w:rsid w:val="00FA4A6E"/>
    <w:rsid w:val="052120A3"/>
    <w:rsid w:val="0A1421D6"/>
    <w:rsid w:val="0ACF66D8"/>
    <w:rsid w:val="0BCD088E"/>
    <w:rsid w:val="0DA73361"/>
    <w:rsid w:val="0FDC5544"/>
    <w:rsid w:val="149B549C"/>
    <w:rsid w:val="14A34882"/>
    <w:rsid w:val="18E162CA"/>
    <w:rsid w:val="19FA0946"/>
    <w:rsid w:val="1A802F17"/>
    <w:rsid w:val="1AA72BF2"/>
    <w:rsid w:val="1AB33062"/>
    <w:rsid w:val="1E432C32"/>
    <w:rsid w:val="1E4951D9"/>
    <w:rsid w:val="1E917E41"/>
    <w:rsid w:val="20713243"/>
    <w:rsid w:val="207B6F8B"/>
    <w:rsid w:val="21507EE8"/>
    <w:rsid w:val="23E35A2C"/>
    <w:rsid w:val="24C66197"/>
    <w:rsid w:val="263A55D7"/>
    <w:rsid w:val="26D92385"/>
    <w:rsid w:val="29216576"/>
    <w:rsid w:val="29841CDD"/>
    <w:rsid w:val="2EF30B0C"/>
    <w:rsid w:val="316D31B2"/>
    <w:rsid w:val="33595C04"/>
    <w:rsid w:val="33CA57E8"/>
    <w:rsid w:val="384C0889"/>
    <w:rsid w:val="394F4675"/>
    <w:rsid w:val="439F697A"/>
    <w:rsid w:val="43E909D4"/>
    <w:rsid w:val="448E6105"/>
    <w:rsid w:val="453B41B6"/>
    <w:rsid w:val="47B907B1"/>
    <w:rsid w:val="49ED2E91"/>
    <w:rsid w:val="4E4A12EF"/>
    <w:rsid w:val="4ED33E80"/>
    <w:rsid w:val="53D6A0C6"/>
    <w:rsid w:val="543A4515"/>
    <w:rsid w:val="54624B0D"/>
    <w:rsid w:val="555555EC"/>
    <w:rsid w:val="56061B01"/>
    <w:rsid w:val="5A1B2D58"/>
    <w:rsid w:val="63EA73A4"/>
    <w:rsid w:val="64305E79"/>
    <w:rsid w:val="654851F8"/>
    <w:rsid w:val="65DD2659"/>
    <w:rsid w:val="667E5B82"/>
    <w:rsid w:val="68993147"/>
    <w:rsid w:val="69990F25"/>
    <w:rsid w:val="6AF62499"/>
    <w:rsid w:val="71A66A74"/>
    <w:rsid w:val="74F040EF"/>
    <w:rsid w:val="75DA6B4D"/>
    <w:rsid w:val="76FF3998"/>
    <w:rsid w:val="773C669D"/>
    <w:rsid w:val="7CEB38F0"/>
    <w:rsid w:val="7D1A44EF"/>
    <w:rsid w:val="7EF6439F"/>
    <w:rsid w:val="FEEE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8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9">
    <w:name w:val="前言、引言标题"/>
    <w:next w:val="10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">
    <w:name w:val="目次、标准名称标题"/>
    <w:basedOn w:val="1"/>
    <w:next w:val="10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12">
    <w:name w:val="章标题"/>
    <w:next w:val="10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3">
    <w:name w:val="终结线"/>
    <w:basedOn w:val="1"/>
    <w:qFormat/>
    <w:uiPriority w:val="0"/>
    <w:pPr>
      <w:framePr w:hSpace="181" w:vSpace="181" w:wrap="around" w:vAnchor="text" w:hAnchor="margin" w:xAlign="center" w:y="285"/>
    </w:pPr>
  </w:style>
  <w:style w:type="paragraph" w:customStyle="1" w:styleId="14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5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6">
    <w:name w:val="标准文件_目录标题"/>
    <w:basedOn w:val="1"/>
    <w:qFormat/>
    <w:uiPriority w:val="0"/>
    <w:pPr>
      <w:spacing w:before="480" w:after="150" w:afterLines="150"/>
      <w:jc w:val="center"/>
    </w:pPr>
    <w:rPr>
      <w:rFonts w:ascii="黑体" w:eastAsia="黑体"/>
      <w:sz w:val="32"/>
    </w:rPr>
  </w:style>
  <w:style w:type="paragraph" w:customStyle="1" w:styleId="17">
    <w:name w:val="标准文件_章标题"/>
    <w:next w:val="18"/>
    <w:qFormat/>
    <w:uiPriority w:val="0"/>
    <w:pPr>
      <w:numPr>
        <w:ilvl w:val="1"/>
        <w:numId w:val="2"/>
      </w:numPr>
      <w:spacing w:before="100" w:beforeLines="100" w:after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8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9">
    <w:name w:val="标准文件_术语条一"/>
    <w:basedOn w:val="20"/>
    <w:next w:val="18"/>
    <w:qFormat/>
    <w:uiPriority w:val="0"/>
    <w:rPr>
      <w:rFonts w:ascii="黑体" w:hAnsi="黑体" w:eastAsia="黑体" w:cs="黑体"/>
    </w:rPr>
  </w:style>
  <w:style w:type="paragraph" w:customStyle="1" w:styleId="20">
    <w:name w:val="标准文件_一级无标题"/>
    <w:basedOn w:val="21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21">
    <w:name w:val="标准文件_一级条标题"/>
    <w:basedOn w:val="17"/>
    <w:next w:val="18"/>
    <w:qFormat/>
    <w:uiPriority w:val="0"/>
    <w:pPr>
      <w:numPr>
        <w:ilvl w:val="2"/>
      </w:numPr>
      <w:spacing w:before="50" w:beforeLines="50" w:after="50" w:afterLines="50"/>
      <w:outlineLvl w:val="1"/>
    </w:pPr>
  </w:style>
  <w:style w:type="paragraph" w:customStyle="1" w:styleId="22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1909</Words>
  <Characters>2563</Characters>
  <Lines>242</Lines>
  <Paragraphs>134</Paragraphs>
  <TotalTime>1</TotalTime>
  <ScaleCrop>false</ScaleCrop>
  <LinksUpToDate>false</LinksUpToDate>
  <CharactersWithSpaces>2791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2026-10-18T01:42:00Z</dcterms:created>
  <dc:creator>86134</dc:creator>
  <cp:lastModifiedBy>Sheldon Wang</cp:lastModifiedBy>
  <cp:lastPrinted>2026-10-16T06:51:00Z</cp:lastPrinted>
  <dcterms:modified xsi:type="dcterms:W3CDTF">2026-10-19T06:45:11Z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343F4CDC1CB74098996F15023102D72A_13</vt:lpwstr>
  </property>
  <property fmtid="{D5CDD505-2E9C-101B-9397-08002B2CF9AE}" pid="4" name="KSOTemplateDocerSaveRecord">
    <vt:lpwstr>eyJoZGlkIjoiZTA1ODlkMTYxMzAzZWFiNGI2ZWEzNGY2ZGU0ZGI4ODQiLCJ1c2VySWQiOiI3NDY5NzU3MTAifQ==</vt:lpwstr>
  </property>
</Properties>
</file>